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31A77" w14:textId="2B09D3EA" w:rsidR="00C50054" w:rsidRDefault="00C50054" w:rsidP="00C50054">
      <w:pPr>
        <w:jc w:val="center"/>
        <w:rPr>
          <w:rFonts w:ascii="Garamond" w:hAnsi="Garamond" w:cs="Calibri"/>
          <w:b/>
        </w:rPr>
      </w:pPr>
      <w:r>
        <w:rPr>
          <w:noProof/>
        </w:rPr>
        <w:drawing>
          <wp:inline distT="0" distB="0" distL="0" distR="0" wp14:anchorId="685A4510" wp14:editId="4F4005E5">
            <wp:extent cx="4133850" cy="1046094"/>
            <wp:effectExtent l="0" t="0" r="0" b="190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65052" cy="1053990"/>
                    </a:xfrm>
                    <a:prstGeom prst="rect">
                      <a:avLst/>
                    </a:prstGeom>
                    <a:noFill/>
                    <a:ln>
                      <a:noFill/>
                    </a:ln>
                  </pic:spPr>
                </pic:pic>
              </a:graphicData>
            </a:graphic>
          </wp:inline>
        </w:drawing>
      </w:r>
    </w:p>
    <w:p w14:paraId="6BADF185" w14:textId="294B06CB" w:rsidR="00A86CD6" w:rsidRPr="00C50054" w:rsidRDefault="00A86CD6" w:rsidP="00C50054">
      <w:pPr>
        <w:jc w:val="center"/>
        <w:rPr>
          <w:rFonts w:ascii="Garamond" w:hAnsi="Garamond" w:cs="Calibri"/>
          <w:b/>
        </w:rPr>
      </w:pPr>
      <w:r w:rsidRPr="00C50054">
        <w:rPr>
          <w:rFonts w:ascii="Garamond" w:hAnsi="Garamond" w:cs="Calibri"/>
          <w:b/>
        </w:rPr>
        <w:t>August market review</w:t>
      </w:r>
    </w:p>
    <w:p w14:paraId="0B176CD6" w14:textId="0429C088" w:rsidR="004577D0" w:rsidRPr="00C50054" w:rsidRDefault="00A86CD6" w:rsidP="00A86CD6">
      <w:pPr>
        <w:rPr>
          <w:rFonts w:ascii="Garamond" w:hAnsi="Garamond" w:cs="Calibri"/>
        </w:rPr>
      </w:pPr>
      <w:r w:rsidRPr="00C50054">
        <w:rPr>
          <w:rFonts w:ascii="Garamond" w:hAnsi="Garamond" w:cs="Calibri"/>
        </w:rPr>
        <w:t xml:space="preserve">Record-setting earnings, official FDA approval of the Pfizer vaccine and anticipation that booster shots will begin in September </w:t>
      </w:r>
      <w:r w:rsidR="004731D3" w:rsidRPr="00C50054">
        <w:rPr>
          <w:rFonts w:ascii="Garamond" w:hAnsi="Garamond" w:cs="Calibri"/>
        </w:rPr>
        <w:t xml:space="preserve">helped drive equity markets </w:t>
      </w:r>
      <w:r w:rsidR="001E78CD" w:rsidRPr="00C50054">
        <w:rPr>
          <w:rFonts w:ascii="Garamond" w:hAnsi="Garamond" w:cs="Calibri"/>
        </w:rPr>
        <w:t xml:space="preserve">steadily higher </w:t>
      </w:r>
      <w:r w:rsidR="004731D3" w:rsidRPr="00C50054">
        <w:rPr>
          <w:rFonts w:ascii="Garamond" w:hAnsi="Garamond" w:cs="Calibri"/>
        </w:rPr>
        <w:t>in August. T</w:t>
      </w:r>
      <w:r w:rsidRPr="00C50054">
        <w:rPr>
          <w:rFonts w:ascii="Garamond" w:hAnsi="Garamond" w:cs="Calibri"/>
        </w:rPr>
        <w:t>he S&amp;P 500 index</w:t>
      </w:r>
      <w:r w:rsidR="004731D3" w:rsidRPr="00C50054">
        <w:rPr>
          <w:rFonts w:ascii="Garamond" w:hAnsi="Garamond" w:cs="Calibri"/>
        </w:rPr>
        <w:t xml:space="preserve">, a </w:t>
      </w:r>
      <w:r w:rsidRPr="00C50054">
        <w:rPr>
          <w:rFonts w:ascii="Garamond" w:hAnsi="Garamond" w:cs="Calibri"/>
        </w:rPr>
        <w:t xml:space="preserve">common measure for U.S. large-cap performance, </w:t>
      </w:r>
      <w:r w:rsidR="00654956" w:rsidRPr="00C50054">
        <w:rPr>
          <w:rFonts w:ascii="Garamond" w:hAnsi="Garamond" w:cs="Calibri"/>
        </w:rPr>
        <w:t>reached</w:t>
      </w:r>
      <w:r w:rsidR="009379F1" w:rsidRPr="00C50054">
        <w:rPr>
          <w:rFonts w:ascii="Garamond" w:hAnsi="Garamond" w:cs="Calibri"/>
        </w:rPr>
        <w:t xml:space="preserve"> 12 </w:t>
      </w:r>
      <w:r w:rsidR="004731D3" w:rsidRPr="00C50054">
        <w:rPr>
          <w:rFonts w:ascii="Garamond" w:hAnsi="Garamond" w:cs="Calibri"/>
        </w:rPr>
        <w:t xml:space="preserve">highs during the month on its way to gains of roughly </w:t>
      </w:r>
      <w:r w:rsidR="005658B9" w:rsidRPr="00C50054">
        <w:rPr>
          <w:rFonts w:ascii="Garamond" w:hAnsi="Garamond" w:cs="Calibri"/>
        </w:rPr>
        <w:t>3</w:t>
      </w:r>
      <w:r w:rsidR="004731D3" w:rsidRPr="00C50054">
        <w:rPr>
          <w:rFonts w:ascii="Garamond" w:hAnsi="Garamond" w:cs="Calibri"/>
        </w:rPr>
        <w:t>%.</w:t>
      </w:r>
    </w:p>
    <w:p w14:paraId="1CB7086A" w14:textId="3B166B20" w:rsidR="000B536C" w:rsidRPr="00C50054" w:rsidRDefault="000B536C" w:rsidP="000B536C">
      <w:pPr>
        <w:rPr>
          <w:rFonts w:ascii="Garamond" w:hAnsi="Garamond" w:cs="Calibri"/>
        </w:rPr>
      </w:pPr>
      <w:r w:rsidRPr="00C50054">
        <w:rPr>
          <w:rFonts w:ascii="Garamond" w:hAnsi="Garamond" w:cs="Calibri"/>
        </w:rPr>
        <w:t>Since Memorial Day</w:t>
      </w:r>
      <w:r w:rsidR="005658B9" w:rsidRPr="00C50054">
        <w:rPr>
          <w:rFonts w:ascii="Garamond" w:hAnsi="Garamond" w:cs="Calibri"/>
        </w:rPr>
        <w:t>, the S&amp;P 500 has gained more than</w:t>
      </w:r>
      <w:r w:rsidRPr="00C50054">
        <w:rPr>
          <w:rFonts w:ascii="Garamond" w:hAnsi="Garamond" w:cs="Calibri"/>
        </w:rPr>
        <w:t xml:space="preserve"> 7%</w:t>
      </w:r>
      <w:r w:rsidR="00861E76" w:rsidRPr="00C50054">
        <w:rPr>
          <w:rFonts w:ascii="Garamond" w:hAnsi="Garamond" w:cs="Calibri"/>
        </w:rPr>
        <w:t>, belying the idea that equity markets take the summer off</w:t>
      </w:r>
      <w:r w:rsidRPr="00C50054">
        <w:rPr>
          <w:rFonts w:ascii="Garamond" w:hAnsi="Garamond" w:cs="Calibri"/>
        </w:rPr>
        <w:t>.</w:t>
      </w:r>
    </w:p>
    <w:p w14:paraId="34CA869A" w14:textId="77777777" w:rsidR="004577D0" w:rsidRPr="00C50054" w:rsidRDefault="00A86CD6" w:rsidP="00A86CD6">
      <w:pPr>
        <w:rPr>
          <w:rFonts w:ascii="Garamond" w:hAnsi="Garamond"/>
        </w:rPr>
      </w:pPr>
      <w:r w:rsidRPr="00C50054">
        <w:rPr>
          <w:rFonts w:ascii="Garamond" w:hAnsi="Garamond" w:cs="Calibri"/>
        </w:rPr>
        <w:t xml:space="preserve">“Summer strength continued in August, dispelling the myth that investors ‘sell in May and go away,’” </w:t>
      </w:r>
      <w:r w:rsidR="00CA1A42" w:rsidRPr="00C50054">
        <w:rPr>
          <w:rFonts w:ascii="Garamond" w:hAnsi="Garamond" w:cs="Calibri"/>
        </w:rPr>
        <w:t>s</w:t>
      </w:r>
      <w:r w:rsidR="00CA1A42" w:rsidRPr="00C50054">
        <w:rPr>
          <w:rFonts w:ascii="Garamond" w:hAnsi="Garamond"/>
        </w:rPr>
        <w:t>aid Raymond James Chief Investment Officer Larry Adam.</w:t>
      </w:r>
      <w:r w:rsidR="004577D0" w:rsidRPr="00C50054">
        <w:rPr>
          <w:rFonts w:ascii="Garamond" w:hAnsi="Garamond"/>
        </w:rPr>
        <w:t xml:space="preserve"> “Investors looked past the resurgence in COVID-19 cases, which has had only limited impacts to economic momentum so far.”</w:t>
      </w:r>
    </w:p>
    <w:p w14:paraId="589A8F58" w14:textId="77777777" w:rsidR="00086D35" w:rsidRPr="00C50054" w:rsidRDefault="00A162F6" w:rsidP="00086D35">
      <w:pPr>
        <w:rPr>
          <w:rFonts w:ascii="Garamond" w:hAnsi="Garamond"/>
        </w:rPr>
      </w:pPr>
      <w:r w:rsidRPr="00C50054">
        <w:rPr>
          <w:rFonts w:ascii="Garamond" w:hAnsi="Garamond"/>
        </w:rPr>
        <w:t xml:space="preserve">U.S. Federal Reserve officials and most economists believe recent inflation will be transitory, though production bottlenecks and other supply issues are likely to continue for a while, according to Chief Economist Scott Brown. </w:t>
      </w:r>
    </w:p>
    <w:p w14:paraId="3C7A1529" w14:textId="71821C38" w:rsidR="000B536C" w:rsidRPr="00C50054" w:rsidRDefault="00086D35" w:rsidP="00086D35">
      <w:pPr>
        <w:rPr>
          <w:rFonts w:ascii="Garamond" w:hAnsi="Garamond"/>
        </w:rPr>
      </w:pPr>
      <w:r w:rsidRPr="00C50054">
        <w:rPr>
          <w:rFonts w:ascii="Garamond" w:hAnsi="Garamond"/>
        </w:rPr>
        <w:t>The Fed</w:t>
      </w:r>
      <w:r w:rsidR="008B6DB7" w:rsidRPr="00C50054">
        <w:rPr>
          <w:rFonts w:ascii="Garamond" w:hAnsi="Garamond"/>
        </w:rPr>
        <w:t>eral Reserve</w:t>
      </w:r>
      <w:r w:rsidRPr="00C50054">
        <w:rPr>
          <w:rFonts w:ascii="Garamond" w:hAnsi="Garamond"/>
        </w:rPr>
        <w:t xml:space="preserve"> is expected to start reducing (“tapering”) its monthly asset purchases </w:t>
      </w:r>
      <w:r w:rsidR="00CE6549" w:rsidRPr="00C50054">
        <w:rPr>
          <w:rFonts w:ascii="Garamond" w:hAnsi="Garamond"/>
        </w:rPr>
        <w:t xml:space="preserve">– </w:t>
      </w:r>
      <w:r w:rsidRPr="00C50054">
        <w:rPr>
          <w:rFonts w:ascii="Garamond" w:hAnsi="Garamond"/>
        </w:rPr>
        <w:t>currently $120 billion</w:t>
      </w:r>
      <w:r w:rsidR="00CE6549" w:rsidRPr="00C50054">
        <w:rPr>
          <w:rFonts w:ascii="Garamond" w:hAnsi="Garamond"/>
        </w:rPr>
        <w:t xml:space="preserve"> –</w:t>
      </w:r>
      <w:r w:rsidRPr="00C50054">
        <w:rPr>
          <w:rFonts w:ascii="Garamond" w:hAnsi="Garamond"/>
        </w:rPr>
        <w:t xml:space="preserve"> later this year.</w:t>
      </w:r>
      <w:r w:rsidR="008B6DB7" w:rsidRPr="00C50054">
        <w:rPr>
          <w:rFonts w:ascii="Garamond" w:hAnsi="Garamond"/>
        </w:rPr>
        <w:t xml:space="preserve"> </w:t>
      </w:r>
      <w:r w:rsidRPr="00C50054">
        <w:rPr>
          <w:rFonts w:ascii="Garamond" w:hAnsi="Garamond"/>
        </w:rPr>
        <w:t>However, “any increase in short-term interest rates is still a long way off,” Brown said.</w:t>
      </w:r>
    </w:p>
    <w:p w14:paraId="328A98D7" w14:textId="77777777" w:rsidR="00A86CD6" w:rsidRPr="00C50054" w:rsidRDefault="001E78CD" w:rsidP="00A86CD6">
      <w:pPr>
        <w:rPr>
          <w:rFonts w:ascii="Garamond" w:hAnsi="Garamond"/>
        </w:rPr>
      </w:pPr>
      <w:r w:rsidRPr="00C50054">
        <w:rPr>
          <w:rFonts w:ascii="Garamond" w:hAnsi="Garamond"/>
        </w:rPr>
        <w:t>Here’s a recap of year-to-date index performan</w:t>
      </w:r>
      <w:r w:rsidR="00C637FF" w:rsidRPr="00C50054">
        <w:rPr>
          <w:rFonts w:ascii="Garamond" w:hAnsi="Garamond"/>
        </w:rPr>
        <w:t>c</w:t>
      </w:r>
      <w:r w:rsidRPr="00C50054">
        <w:rPr>
          <w:rFonts w:ascii="Garamond" w:hAnsi="Garamond"/>
        </w:rPr>
        <w:t>e</w:t>
      </w:r>
      <w:r w:rsidR="00A86CD6" w:rsidRPr="00C50054">
        <w:rPr>
          <w:rFonts w:ascii="Garamond" w:hAnsi="Garamond"/>
        </w:rPr>
        <w:t>:</w:t>
      </w:r>
    </w:p>
    <w:tbl>
      <w:tblPr>
        <w:tblpPr w:leftFromText="180" w:rightFromText="180" w:bottomFromText="200" w:vertAnchor="text" w:horzAnchor="margin" w:tblpXSpec="center" w:tblpY="35"/>
        <w:tblW w:w="9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7"/>
        <w:gridCol w:w="2448"/>
        <w:gridCol w:w="1845"/>
        <w:gridCol w:w="1845"/>
        <w:gridCol w:w="1845"/>
        <w:gridCol w:w="1845"/>
      </w:tblGrid>
      <w:tr w:rsidR="00A86CD6" w:rsidRPr="00C50054" w14:paraId="4E5C5365" w14:textId="77777777" w:rsidTr="00C50054">
        <w:trPr>
          <w:trHeight w:val="740"/>
        </w:trPr>
        <w:tc>
          <w:tcPr>
            <w:tcW w:w="2455" w:type="dxa"/>
            <w:gridSpan w:val="2"/>
            <w:vAlign w:val="center"/>
          </w:tcPr>
          <w:p w14:paraId="0A164CDF" w14:textId="77777777" w:rsidR="00A86CD6" w:rsidRPr="00C50054" w:rsidRDefault="00A86CD6" w:rsidP="00ED3C29">
            <w:pPr>
              <w:tabs>
                <w:tab w:val="left" w:pos="5490"/>
              </w:tabs>
              <w:jc w:val="center"/>
              <w:rPr>
                <w:rFonts w:ascii="Garamond" w:hAnsi="Garamond" w:cs="Calibri"/>
              </w:rPr>
            </w:pPr>
          </w:p>
        </w:tc>
        <w:tc>
          <w:tcPr>
            <w:tcW w:w="1845" w:type="dxa"/>
            <w:vAlign w:val="center"/>
          </w:tcPr>
          <w:p w14:paraId="148FB58C" w14:textId="77777777" w:rsidR="00A86CD6" w:rsidRPr="00C50054" w:rsidRDefault="00A86CD6" w:rsidP="00ED3C29">
            <w:pPr>
              <w:tabs>
                <w:tab w:val="left" w:pos="5490"/>
              </w:tabs>
              <w:jc w:val="center"/>
              <w:rPr>
                <w:rFonts w:ascii="Garamond" w:hAnsi="Garamond" w:cs="Calibri"/>
              </w:rPr>
            </w:pPr>
            <w:r w:rsidRPr="00C50054">
              <w:rPr>
                <w:rFonts w:ascii="Garamond" w:hAnsi="Garamond" w:cs="Calibri"/>
              </w:rPr>
              <w:t>12/31/20 Close</w:t>
            </w:r>
          </w:p>
        </w:tc>
        <w:tc>
          <w:tcPr>
            <w:tcW w:w="1845" w:type="dxa"/>
            <w:vAlign w:val="center"/>
          </w:tcPr>
          <w:p w14:paraId="6834679E" w14:textId="77777777" w:rsidR="00A86CD6" w:rsidRPr="00C50054" w:rsidRDefault="00861E76" w:rsidP="00861E76">
            <w:pPr>
              <w:tabs>
                <w:tab w:val="left" w:pos="5490"/>
              </w:tabs>
              <w:jc w:val="center"/>
              <w:rPr>
                <w:rFonts w:ascii="Garamond" w:hAnsi="Garamond" w:cs="Calibri"/>
              </w:rPr>
            </w:pPr>
            <w:r w:rsidRPr="00C50054">
              <w:rPr>
                <w:rFonts w:ascii="Garamond" w:hAnsi="Garamond" w:cs="Calibri"/>
              </w:rPr>
              <w:t>8</w:t>
            </w:r>
            <w:r w:rsidR="00A86CD6" w:rsidRPr="00C50054">
              <w:rPr>
                <w:rFonts w:ascii="Garamond" w:hAnsi="Garamond" w:cs="Calibri"/>
              </w:rPr>
              <w:t>/3</w:t>
            </w:r>
            <w:r w:rsidRPr="00C50054">
              <w:rPr>
                <w:rFonts w:ascii="Garamond" w:hAnsi="Garamond" w:cs="Calibri"/>
              </w:rPr>
              <w:t>1</w:t>
            </w:r>
            <w:r w:rsidR="00A86CD6" w:rsidRPr="00C50054">
              <w:rPr>
                <w:rFonts w:ascii="Garamond" w:hAnsi="Garamond" w:cs="Calibri"/>
              </w:rPr>
              <w:t>/21 Close</w:t>
            </w:r>
          </w:p>
        </w:tc>
        <w:tc>
          <w:tcPr>
            <w:tcW w:w="1845" w:type="dxa"/>
            <w:vAlign w:val="center"/>
            <w:hideMark/>
          </w:tcPr>
          <w:p w14:paraId="3D77F53C" w14:textId="77777777" w:rsidR="00A86CD6" w:rsidRPr="00C50054" w:rsidRDefault="00A86CD6" w:rsidP="00ED3C29">
            <w:pPr>
              <w:tabs>
                <w:tab w:val="left" w:pos="5490"/>
              </w:tabs>
              <w:jc w:val="center"/>
              <w:rPr>
                <w:rFonts w:ascii="Garamond" w:hAnsi="Garamond" w:cs="Calibri"/>
              </w:rPr>
            </w:pPr>
            <w:r w:rsidRPr="00C50054">
              <w:rPr>
                <w:rFonts w:ascii="Garamond" w:hAnsi="Garamond" w:cs="Calibri"/>
              </w:rPr>
              <w:t>Change</w:t>
            </w:r>
            <w:r w:rsidRPr="00C50054">
              <w:rPr>
                <w:rFonts w:ascii="Garamond" w:hAnsi="Garamond" w:cs="Calibri"/>
              </w:rPr>
              <w:br/>
              <w:t>Year to Date</w:t>
            </w:r>
          </w:p>
        </w:tc>
        <w:tc>
          <w:tcPr>
            <w:tcW w:w="1845" w:type="dxa"/>
            <w:vAlign w:val="center"/>
            <w:hideMark/>
          </w:tcPr>
          <w:p w14:paraId="3E07DAA9" w14:textId="77777777" w:rsidR="00A86CD6" w:rsidRPr="00C50054" w:rsidRDefault="00A86CD6" w:rsidP="00ED3C29">
            <w:pPr>
              <w:tabs>
                <w:tab w:val="left" w:pos="5490"/>
              </w:tabs>
              <w:jc w:val="center"/>
              <w:rPr>
                <w:rFonts w:ascii="Garamond" w:hAnsi="Garamond" w:cs="Calibri"/>
              </w:rPr>
            </w:pPr>
            <w:r w:rsidRPr="00C50054">
              <w:rPr>
                <w:rFonts w:ascii="Garamond" w:hAnsi="Garamond" w:cs="Calibri"/>
              </w:rPr>
              <w:t>% Gain/Loss Year to Date</w:t>
            </w:r>
          </w:p>
        </w:tc>
      </w:tr>
      <w:tr w:rsidR="008D0FAA" w:rsidRPr="00C50054" w14:paraId="33967CB4" w14:textId="77777777" w:rsidTr="00C50054">
        <w:trPr>
          <w:trHeight w:val="740"/>
        </w:trPr>
        <w:tc>
          <w:tcPr>
            <w:tcW w:w="2455" w:type="dxa"/>
            <w:gridSpan w:val="2"/>
            <w:vAlign w:val="center"/>
            <w:hideMark/>
          </w:tcPr>
          <w:p w14:paraId="46F826E7" w14:textId="77777777" w:rsidR="008D0FAA" w:rsidRPr="00C50054" w:rsidRDefault="008D0FAA" w:rsidP="008D0FAA">
            <w:pPr>
              <w:tabs>
                <w:tab w:val="left" w:pos="5490"/>
              </w:tabs>
              <w:jc w:val="center"/>
              <w:rPr>
                <w:rFonts w:ascii="Garamond" w:hAnsi="Garamond" w:cs="Calibri"/>
              </w:rPr>
            </w:pPr>
            <w:r w:rsidRPr="00C50054">
              <w:rPr>
                <w:rFonts w:ascii="Garamond" w:hAnsi="Garamond" w:cs="Calibri"/>
                <w:color w:val="000000"/>
              </w:rPr>
              <w:t>DJIA</w:t>
            </w:r>
          </w:p>
        </w:tc>
        <w:tc>
          <w:tcPr>
            <w:tcW w:w="1845" w:type="dxa"/>
            <w:vAlign w:val="center"/>
          </w:tcPr>
          <w:p w14:paraId="38F94442" w14:textId="77777777" w:rsidR="008D0FAA" w:rsidRPr="00C50054" w:rsidRDefault="008D0FAA" w:rsidP="008D0FAA">
            <w:pPr>
              <w:tabs>
                <w:tab w:val="left" w:pos="5490"/>
              </w:tabs>
              <w:jc w:val="center"/>
              <w:rPr>
                <w:rFonts w:ascii="Garamond" w:hAnsi="Garamond" w:cs="Calibri"/>
              </w:rPr>
            </w:pPr>
            <w:r w:rsidRPr="00C50054">
              <w:rPr>
                <w:rFonts w:ascii="Garamond" w:hAnsi="Garamond" w:cs="Calibri"/>
              </w:rPr>
              <w:t>30,606.48</w:t>
            </w:r>
          </w:p>
        </w:tc>
        <w:tc>
          <w:tcPr>
            <w:tcW w:w="1845" w:type="dxa"/>
            <w:vAlign w:val="center"/>
          </w:tcPr>
          <w:p w14:paraId="4DBC77BC" w14:textId="31FC819E" w:rsidR="008D0FAA" w:rsidRPr="00C50054" w:rsidRDefault="008D0FAA" w:rsidP="008D0FAA">
            <w:pPr>
              <w:tabs>
                <w:tab w:val="left" w:pos="5490"/>
              </w:tabs>
              <w:jc w:val="center"/>
              <w:rPr>
                <w:rFonts w:ascii="Garamond" w:hAnsi="Garamond" w:cs="Calibri"/>
              </w:rPr>
            </w:pPr>
            <w:r w:rsidRPr="00C50054">
              <w:rPr>
                <w:rFonts w:ascii="Garamond" w:hAnsi="Garamond" w:cs="Calibri"/>
                <w:color w:val="000000"/>
              </w:rPr>
              <w:t>35,360.73</w:t>
            </w:r>
          </w:p>
        </w:tc>
        <w:tc>
          <w:tcPr>
            <w:tcW w:w="1845" w:type="dxa"/>
            <w:vAlign w:val="center"/>
          </w:tcPr>
          <w:p w14:paraId="524A4661" w14:textId="3513183F" w:rsidR="008D0FAA" w:rsidRPr="00C50054" w:rsidRDefault="008D0FAA" w:rsidP="008D0FAA">
            <w:pPr>
              <w:tabs>
                <w:tab w:val="left" w:pos="5490"/>
              </w:tabs>
              <w:jc w:val="center"/>
              <w:rPr>
                <w:rFonts w:ascii="Garamond" w:hAnsi="Garamond" w:cs="Calibri"/>
                <w:color w:val="00B050"/>
              </w:rPr>
            </w:pPr>
            <w:r w:rsidRPr="00C50054">
              <w:rPr>
                <w:rFonts w:ascii="Garamond" w:hAnsi="Garamond" w:cs="Calibri"/>
                <w:color w:val="548235"/>
              </w:rPr>
              <w:t>+4</w:t>
            </w:r>
            <w:r w:rsidR="008B6DB7" w:rsidRPr="00C50054">
              <w:rPr>
                <w:rFonts w:ascii="Garamond" w:hAnsi="Garamond" w:cs="Calibri"/>
                <w:color w:val="548235"/>
              </w:rPr>
              <w:t>,</w:t>
            </w:r>
            <w:r w:rsidRPr="00C50054">
              <w:rPr>
                <w:rFonts w:ascii="Garamond" w:hAnsi="Garamond" w:cs="Calibri"/>
                <w:color w:val="548235"/>
              </w:rPr>
              <w:t>754.25</w:t>
            </w:r>
          </w:p>
        </w:tc>
        <w:tc>
          <w:tcPr>
            <w:tcW w:w="1845" w:type="dxa"/>
            <w:vAlign w:val="center"/>
          </w:tcPr>
          <w:p w14:paraId="067AE456" w14:textId="27818F33" w:rsidR="008D0FAA" w:rsidRPr="00C50054" w:rsidRDefault="008D0FAA" w:rsidP="008D0FAA">
            <w:pPr>
              <w:tabs>
                <w:tab w:val="left" w:pos="5490"/>
              </w:tabs>
              <w:jc w:val="center"/>
              <w:rPr>
                <w:rFonts w:ascii="Garamond" w:hAnsi="Garamond" w:cs="Calibri"/>
                <w:color w:val="00B050"/>
              </w:rPr>
            </w:pPr>
            <w:r w:rsidRPr="00C50054">
              <w:rPr>
                <w:rFonts w:ascii="Garamond" w:hAnsi="Garamond" w:cs="Calibri"/>
                <w:color w:val="548235"/>
              </w:rPr>
              <w:t>+15.53</w:t>
            </w:r>
          </w:p>
        </w:tc>
      </w:tr>
      <w:tr w:rsidR="008D0FAA" w:rsidRPr="00C50054" w14:paraId="6145196F" w14:textId="77777777" w:rsidTr="00C50054">
        <w:trPr>
          <w:trHeight w:val="740"/>
        </w:trPr>
        <w:tc>
          <w:tcPr>
            <w:tcW w:w="2455" w:type="dxa"/>
            <w:gridSpan w:val="2"/>
            <w:vAlign w:val="center"/>
            <w:hideMark/>
          </w:tcPr>
          <w:p w14:paraId="2F3AC77B" w14:textId="77777777" w:rsidR="008D0FAA" w:rsidRPr="00C50054" w:rsidRDefault="008D0FAA" w:rsidP="008D0FAA">
            <w:pPr>
              <w:tabs>
                <w:tab w:val="left" w:pos="5490"/>
              </w:tabs>
              <w:jc w:val="center"/>
              <w:rPr>
                <w:rFonts w:ascii="Garamond" w:hAnsi="Garamond" w:cs="Calibri"/>
              </w:rPr>
            </w:pPr>
            <w:r w:rsidRPr="00C50054">
              <w:rPr>
                <w:rFonts w:ascii="Garamond" w:hAnsi="Garamond" w:cs="Calibri"/>
                <w:color w:val="000000"/>
              </w:rPr>
              <w:t>NASDAQ</w:t>
            </w:r>
          </w:p>
        </w:tc>
        <w:tc>
          <w:tcPr>
            <w:tcW w:w="1845" w:type="dxa"/>
            <w:vAlign w:val="center"/>
          </w:tcPr>
          <w:p w14:paraId="7D037519" w14:textId="77777777" w:rsidR="008D0FAA" w:rsidRPr="00C50054" w:rsidRDefault="008D0FAA" w:rsidP="008D0FAA">
            <w:pPr>
              <w:tabs>
                <w:tab w:val="left" w:pos="5490"/>
              </w:tabs>
              <w:jc w:val="center"/>
              <w:rPr>
                <w:rFonts w:ascii="Garamond" w:hAnsi="Garamond" w:cs="Calibri"/>
              </w:rPr>
            </w:pPr>
            <w:r w:rsidRPr="00C50054">
              <w:rPr>
                <w:rFonts w:ascii="Garamond" w:hAnsi="Garamond" w:cs="Calibri"/>
              </w:rPr>
              <w:t>12,888.28</w:t>
            </w:r>
          </w:p>
        </w:tc>
        <w:tc>
          <w:tcPr>
            <w:tcW w:w="1845" w:type="dxa"/>
            <w:vAlign w:val="center"/>
          </w:tcPr>
          <w:p w14:paraId="08B041DD" w14:textId="2584760B" w:rsidR="008D0FAA" w:rsidRPr="00C50054" w:rsidRDefault="008D0FAA" w:rsidP="008D0FAA">
            <w:pPr>
              <w:tabs>
                <w:tab w:val="left" w:pos="5490"/>
              </w:tabs>
              <w:jc w:val="center"/>
              <w:rPr>
                <w:rFonts w:ascii="Garamond" w:hAnsi="Garamond" w:cs="Calibri"/>
              </w:rPr>
            </w:pPr>
            <w:r w:rsidRPr="00C50054">
              <w:rPr>
                <w:rFonts w:ascii="Garamond" w:hAnsi="Garamond" w:cs="Calibri"/>
                <w:color w:val="000000"/>
              </w:rPr>
              <w:t>15,259.24</w:t>
            </w:r>
          </w:p>
        </w:tc>
        <w:tc>
          <w:tcPr>
            <w:tcW w:w="1845" w:type="dxa"/>
            <w:vAlign w:val="center"/>
          </w:tcPr>
          <w:p w14:paraId="6CDB5F79" w14:textId="38960BDE" w:rsidR="008D0FAA" w:rsidRPr="00C50054" w:rsidRDefault="008D0FAA" w:rsidP="008D0FAA">
            <w:pPr>
              <w:tabs>
                <w:tab w:val="left" w:pos="5490"/>
              </w:tabs>
              <w:jc w:val="center"/>
              <w:rPr>
                <w:rFonts w:ascii="Garamond" w:hAnsi="Garamond" w:cs="Calibri"/>
                <w:color w:val="00B050"/>
              </w:rPr>
            </w:pPr>
            <w:r w:rsidRPr="00C50054">
              <w:rPr>
                <w:rFonts w:ascii="Garamond" w:hAnsi="Garamond" w:cs="Calibri"/>
                <w:color w:val="548235"/>
              </w:rPr>
              <w:t>+2</w:t>
            </w:r>
            <w:r w:rsidR="008B6DB7" w:rsidRPr="00C50054">
              <w:rPr>
                <w:rFonts w:ascii="Garamond" w:hAnsi="Garamond" w:cs="Calibri"/>
                <w:color w:val="548235"/>
              </w:rPr>
              <w:t>,</w:t>
            </w:r>
            <w:r w:rsidRPr="00C50054">
              <w:rPr>
                <w:rFonts w:ascii="Garamond" w:hAnsi="Garamond" w:cs="Calibri"/>
                <w:color w:val="548235"/>
              </w:rPr>
              <w:t>370.96</w:t>
            </w:r>
          </w:p>
        </w:tc>
        <w:tc>
          <w:tcPr>
            <w:tcW w:w="1845" w:type="dxa"/>
            <w:vAlign w:val="center"/>
          </w:tcPr>
          <w:p w14:paraId="36EA9AE5" w14:textId="305F5EEF" w:rsidR="008D0FAA" w:rsidRPr="00C50054" w:rsidRDefault="008D0FAA" w:rsidP="008D0FAA">
            <w:pPr>
              <w:tabs>
                <w:tab w:val="left" w:pos="5490"/>
              </w:tabs>
              <w:jc w:val="center"/>
              <w:rPr>
                <w:rFonts w:ascii="Garamond" w:hAnsi="Garamond" w:cs="Calibri"/>
                <w:color w:val="00B050"/>
              </w:rPr>
            </w:pPr>
            <w:r w:rsidRPr="00C50054">
              <w:rPr>
                <w:rFonts w:ascii="Garamond" w:hAnsi="Garamond" w:cs="Calibri"/>
                <w:color w:val="548235"/>
              </w:rPr>
              <w:t>+18.40</w:t>
            </w:r>
          </w:p>
        </w:tc>
      </w:tr>
      <w:tr w:rsidR="008D0FAA" w:rsidRPr="00C50054" w14:paraId="346D56C4" w14:textId="77777777" w:rsidTr="00C50054">
        <w:trPr>
          <w:trHeight w:val="740"/>
        </w:trPr>
        <w:tc>
          <w:tcPr>
            <w:tcW w:w="2455" w:type="dxa"/>
            <w:gridSpan w:val="2"/>
            <w:vAlign w:val="center"/>
            <w:hideMark/>
          </w:tcPr>
          <w:p w14:paraId="32ED93C9" w14:textId="77777777" w:rsidR="008D0FAA" w:rsidRPr="00C50054" w:rsidRDefault="008D0FAA" w:rsidP="008D0FAA">
            <w:pPr>
              <w:tabs>
                <w:tab w:val="left" w:pos="5490"/>
              </w:tabs>
              <w:jc w:val="center"/>
              <w:rPr>
                <w:rFonts w:ascii="Garamond" w:hAnsi="Garamond" w:cs="Calibri"/>
              </w:rPr>
            </w:pPr>
            <w:r w:rsidRPr="00C50054">
              <w:rPr>
                <w:rFonts w:ascii="Garamond" w:hAnsi="Garamond" w:cs="Calibri"/>
                <w:color w:val="000000"/>
              </w:rPr>
              <w:t>S&amp;P 500</w:t>
            </w:r>
          </w:p>
        </w:tc>
        <w:tc>
          <w:tcPr>
            <w:tcW w:w="1845" w:type="dxa"/>
            <w:vAlign w:val="center"/>
          </w:tcPr>
          <w:p w14:paraId="5F4B6567" w14:textId="77777777" w:rsidR="008D0FAA" w:rsidRPr="00C50054" w:rsidRDefault="008D0FAA" w:rsidP="008D0FAA">
            <w:pPr>
              <w:tabs>
                <w:tab w:val="left" w:pos="5490"/>
              </w:tabs>
              <w:jc w:val="center"/>
              <w:rPr>
                <w:rFonts w:ascii="Garamond" w:hAnsi="Garamond" w:cs="Calibri"/>
              </w:rPr>
            </w:pPr>
            <w:r w:rsidRPr="00C50054">
              <w:rPr>
                <w:rFonts w:ascii="Garamond" w:hAnsi="Garamond" w:cs="Calibri"/>
              </w:rPr>
              <w:t>3,756.07</w:t>
            </w:r>
          </w:p>
        </w:tc>
        <w:tc>
          <w:tcPr>
            <w:tcW w:w="1845" w:type="dxa"/>
            <w:vAlign w:val="center"/>
          </w:tcPr>
          <w:p w14:paraId="6A7E0305" w14:textId="00BE8840" w:rsidR="008D0FAA" w:rsidRPr="00C50054" w:rsidRDefault="008D0FAA" w:rsidP="008D0FAA">
            <w:pPr>
              <w:tabs>
                <w:tab w:val="left" w:pos="5490"/>
              </w:tabs>
              <w:jc w:val="center"/>
              <w:rPr>
                <w:rFonts w:ascii="Garamond" w:hAnsi="Garamond" w:cs="Calibri"/>
              </w:rPr>
            </w:pPr>
            <w:r w:rsidRPr="00C50054">
              <w:rPr>
                <w:rFonts w:ascii="Garamond" w:hAnsi="Garamond" w:cs="Calibri"/>
                <w:color w:val="202020"/>
              </w:rPr>
              <w:t>4,522.68</w:t>
            </w:r>
          </w:p>
        </w:tc>
        <w:tc>
          <w:tcPr>
            <w:tcW w:w="1845" w:type="dxa"/>
            <w:vAlign w:val="center"/>
          </w:tcPr>
          <w:p w14:paraId="7F46D884" w14:textId="287DBFEA" w:rsidR="008D0FAA" w:rsidRPr="00C50054" w:rsidRDefault="008D0FAA" w:rsidP="008D0FAA">
            <w:pPr>
              <w:tabs>
                <w:tab w:val="left" w:pos="5490"/>
              </w:tabs>
              <w:jc w:val="center"/>
              <w:rPr>
                <w:rFonts w:ascii="Garamond" w:hAnsi="Garamond" w:cs="Calibri"/>
                <w:color w:val="00B050"/>
              </w:rPr>
            </w:pPr>
            <w:r w:rsidRPr="00C50054">
              <w:rPr>
                <w:rFonts w:ascii="Garamond" w:hAnsi="Garamond" w:cs="Calibri"/>
                <w:color w:val="548235"/>
              </w:rPr>
              <w:t>+766.61</w:t>
            </w:r>
          </w:p>
        </w:tc>
        <w:tc>
          <w:tcPr>
            <w:tcW w:w="1845" w:type="dxa"/>
            <w:vAlign w:val="center"/>
          </w:tcPr>
          <w:p w14:paraId="5BED29E6" w14:textId="55C9D4A2" w:rsidR="008D0FAA" w:rsidRPr="00C50054" w:rsidRDefault="008D0FAA" w:rsidP="008D0FAA">
            <w:pPr>
              <w:tabs>
                <w:tab w:val="left" w:pos="5490"/>
              </w:tabs>
              <w:jc w:val="center"/>
              <w:rPr>
                <w:rFonts w:ascii="Garamond" w:hAnsi="Garamond" w:cs="Calibri"/>
                <w:color w:val="00B050"/>
              </w:rPr>
            </w:pPr>
            <w:r w:rsidRPr="00C50054">
              <w:rPr>
                <w:rFonts w:ascii="Garamond" w:hAnsi="Garamond" w:cs="Calibri"/>
                <w:color w:val="548235"/>
              </w:rPr>
              <w:t>+20.41</w:t>
            </w:r>
          </w:p>
        </w:tc>
      </w:tr>
      <w:tr w:rsidR="008D0FAA" w:rsidRPr="00C50054" w14:paraId="782CAAD5" w14:textId="77777777" w:rsidTr="00C50054">
        <w:trPr>
          <w:trHeight w:val="740"/>
        </w:trPr>
        <w:tc>
          <w:tcPr>
            <w:tcW w:w="2455" w:type="dxa"/>
            <w:gridSpan w:val="2"/>
            <w:vAlign w:val="center"/>
          </w:tcPr>
          <w:p w14:paraId="61A65A7E" w14:textId="77777777" w:rsidR="008D0FAA" w:rsidRPr="00C50054" w:rsidRDefault="008D0FAA" w:rsidP="008D0FAA">
            <w:pPr>
              <w:tabs>
                <w:tab w:val="left" w:pos="5490"/>
              </w:tabs>
              <w:jc w:val="center"/>
              <w:rPr>
                <w:rFonts w:ascii="Garamond" w:hAnsi="Garamond" w:cs="Calibri"/>
              </w:rPr>
            </w:pPr>
            <w:r w:rsidRPr="00C50054">
              <w:rPr>
                <w:rFonts w:ascii="Garamond" w:hAnsi="Garamond" w:cs="Calibri"/>
                <w:color w:val="000000"/>
              </w:rPr>
              <w:t>MSCI EAFE</w:t>
            </w:r>
          </w:p>
        </w:tc>
        <w:tc>
          <w:tcPr>
            <w:tcW w:w="1845" w:type="dxa"/>
            <w:vAlign w:val="center"/>
          </w:tcPr>
          <w:p w14:paraId="45EA83F1" w14:textId="77777777" w:rsidR="008D0FAA" w:rsidRPr="00C50054" w:rsidRDefault="008D0FAA" w:rsidP="008D0FAA">
            <w:pPr>
              <w:tabs>
                <w:tab w:val="left" w:pos="5490"/>
              </w:tabs>
              <w:jc w:val="center"/>
              <w:rPr>
                <w:rFonts w:ascii="Garamond" w:hAnsi="Garamond" w:cs="Calibri"/>
              </w:rPr>
            </w:pPr>
            <w:r w:rsidRPr="00C50054">
              <w:rPr>
                <w:rFonts w:ascii="Garamond" w:hAnsi="Garamond" w:cs="Calibri"/>
              </w:rPr>
              <w:t>2,147.53</w:t>
            </w:r>
          </w:p>
        </w:tc>
        <w:tc>
          <w:tcPr>
            <w:tcW w:w="1845" w:type="dxa"/>
            <w:vAlign w:val="center"/>
          </w:tcPr>
          <w:p w14:paraId="50D48B2B" w14:textId="5CDE9170" w:rsidR="008D0FAA" w:rsidRPr="00C50054" w:rsidRDefault="008D0FAA" w:rsidP="00DB0612">
            <w:pPr>
              <w:tabs>
                <w:tab w:val="left" w:pos="5490"/>
              </w:tabs>
              <w:jc w:val="center"/>
              <w:rPr>
                <w:rFonts w:ascii="Garamond" w:hAnsi="Garamond" w:cs="Calibri"/>
              </w:rPr>
            </w:pPr>
            <w:r w:rsidRPr="00C50054">
              <w:rPr>
                <w:rFonts w:ascii="Garamond" w:hAnsi="Garamond" w:cs="Calibri"/>
              </w:rPr>
              <w:t>2,3</w:t>
            </w:r>
            <w:r w:rsidR="00DB0612" w:rsidRPr="00C50054">
              <w:rPr>
                <w:rFonts w:ascii="Garamond" w:hAnsi="Garamond" w:cs="Calibri"/>
              </w:rPr>
              <w:t>58.28</w:t>
            </w:r>
          </w:p>
        </w:tc>
        <w:tc>
          <w:tcPr>
            <w:tcW w:w="1845" w:type="dxa"/>
            <w:vAlign w:val="center"/>
          </w:tcPr>
          <w:p w14:paraId="04EBC991" w14:textId="4FD9150F" w:rsidR="008D0FAA" w:rsidRPr="00C50054" w:rsidRDefault="008D0FAA" w:rsidP="00DB0612">
            <w:pPr>
              <w:tabs>
                <w:tab w:val="left" w:pos="5490"/>
              </w:tabs>
              <w:jc w:val="center"/>
              <w:rPr>
                <w:rFonts w:ascii="Garamond" w:hAnsi="Garamond" w:cs="Calibri"/>
                <w:color w:val="00B050"/>
              </w:rPr>
            </w:pPr>
            <w:r w:rsidRPr="00C50054">
              <w:rPr>
                <w:rFonts w:ascii="Garamond" w:hAnsi="Garamond" w:cs="Calibri"/>
                <w:color w:val="548235"/>
              </w:rPr>
              <w:t>+21</w:t>
            </w:r>
            <w:r w:rsidR="00DB0612" w:rsidRPr="00C50054">
              <w:rPr>
                <w:rFonts w:ascii="Garamond" w:hAnsi="Garamond" w:cs="Calibri"/>
                <w:color w:val="548235"/>
              </w:rPr>
              <w:t>0</w:t>
            </w:r>
            <w:r w:rsidRPr="00C50054">
              <w:rPr>
                <w:rFonts w:ascii="Garamond" w:hAnsi="Garamond" w:cs="Calibri"/>
                <w:color w:val="548235"/>
              </w:rPr>
              <w:t>.</w:t>
            </w:r>
            <w:r w:rsidR="00DB0612" w:rsidRPr="00C50054">
              <w:rPr>
                <w:rFonts w:ascii="Garamond" w:hAnsi="Garamond" w:cs="Calibri"/>
                <w:color w:val="548235"/>
              </w:rPr>
              <w:t>75</w:t>
            </w:r>
          </w:p>
        </w:tc>
        <w:tc>
          <w:tcPr>
            <w:tcW w:w="1845" w:type="dxa"/>
            <w:vAlign w:val="center"/>
          </w:tcPr>
          <w:p w14:paraId="64A06417" w14:textId="3AEF3493" w:rsidR="008D0FAA" w:rsidRPr="00C50054" w:rsidRDefault="008D0FAA" w:rsidP="00DB0612">
            <w:pPr>
              <w:tabs>
                <w:tab w:val="left" w:pos="5490"/>
              </w:tabs>
              <w:jc w:val="center"/>
              <w:rPr>
                <w:rFonts w:ascii="Garamond" w:hAnsi="Garamond" w:cs="Calibri"/>
                <w:color w:val="00B050"/>
              </w:rPr>
            </w:pPr>
            <w:r w:rsidRPr="00C50054">
              <w:rPr>
                <w:rFonts w:ascii="Garamond" w:hAnsi="Garamond" w:cs="Calibri"/>
                <w:color w:val="548235"/>
              </w:rPr>
              <w:t>+9.</w:t>
            </w:r>
            <w:r w:rsidR="00DB0612" w:rsidRPr="00C50054">
              <w:rPr>
                <w:rFonts w:ascii="Garamond" w:hAnsi="Garamond" w:cs="Calibri"/>
                <w:color w:val="548235"/>
              </w:rPr>
              <w:t>81</w:t>
            </w:r>
          </w:p>
        </w:tc>
      </w:tr>
      <w:tr w:rsidR="008D0FAA" w:rsidRPr="00C50054" w14:paraId="01D3E311" w14:textId="77777777" w:rsidTr="00C50054">
        <w:trPr>
          <w:trHeight w:val="740"/>
        </w:trPr>
        <w:tc>
          <w:tcPr>
            <w:tcW w:w="2455" w:type="dxa"/>
            <w:gridSpan w:val="2"/>
            <w:vAlign w:val="center"/>
          </w:tcPr>
          <w:p w14:paraId="64A29D78" w14:textId="77777777" w:rsidR="008D0FAA" w:rsidRPr="00C50054" w:rsidRDefault="008D0FAA" w:rsidP="008D0FAA">
            <w:pPr>
              <w:tabs>
                <w:tab w:val="left" w:pos="5490"/>
              </w:tabs>
              <w:jc w:val="center"/>
              <w:rPr>
                <w:rFonts w:ascii="Garamond" w:hAnsi="Garamond" w:cs="Calibri"/>
              </w:rPr>
            </w:pPr>
            <w:r w:rsidRPr="00C50054">
              <w:rPr>
                <w:rFonts w:ascii="Garamond" w:hAnsi="Garamond" w:cs="Calibri"/>
                <w:color w:val="000000"/>
              </w:rPr>
              <w:t>Russell 2000</w:t>
            </w:r>
          </w:p>
        </w:tc>
        <w:tc>
          <w:tcPr>
            <w:tcW w:w="1845" w:type="dxa"/>
            <w:vAlign w:val="center"/>
          </w:tcPr>
          <w:p w14:paraId="4D7FFA9B" w14:textId="77777777" w:rsidR="008D0FAA" w:rsidRPr="00C50054" w:rsidRDefault="008D0FAA" w:rsidP="008D0FAA">
            <w:pPr>
              <w:tabs>
                <w:tab w:val="left" w:pos="5490"/>
              </w:tabs>
              <w:jc w:val="center"/>
              <w:rPr>
                <w:rFonts w:ascii="Garamond" w:hAnsi="Garamond" w:cs="Calibri"/>
              </w:rPr>
            </w:pPr>
            <w:r w:rsidRPr="00C50054">
              <w:rPr>
                <w:rFonts w:ascii="Garamond" w:hAnsi="Garamond" w:cs="Calibri"/>
              </w:rPr>
              <w:t>1,974.86</w:t>
            </w:r>
          </w:p>
        </w:tc>
        <w:tc>
          <w:tcPr>
            <w:tcW w:w="1845" w:type="dxa"/>
            <w:vAlign w:val="center"/>
          </w:tcPr>
          <w:p w14:paraId="41BDE95F" w14:textId="15F7B3E4" w:rsidR="008D0FAA" w:rsidRPr="00C50054" w:rsidRDefault="008D0FAA" w:rsidP="008D0FAA">
            <w:pPr>
              <w:tabs>
                <w:tab w:val="left" w:pos="5490"/>
              </w:tabs>
              <w:jc w:val="center"/>
              <w:rPr>
                <w:rFonts w:ascii="Garamond" w:hAnsi="Garamond" w:cs="Calibri"/>
              </w:rPr>
            </w:pPr>
            <w:r w:rsidRPr="00C50054">
              <w:rPr>
                <w:rFonts w:ascii="Garamond" w:hAnsi="Garamond" w:cs="Calibri"/>
              </w:rPr>
              <w:t>2,273.77</w:t>
            </w:r>
          </w:p>
        </w:tc>
        <w:tc>
          <w:tcPr>
            <w:tcW w:w="1845" w:type="dxa"/>
            <w:vAlign w:val="center"/>
          </w:tcPr>
          <w:p w14:paraId="2DAEABEB" w14:textId="5ABCED18" w:rsidR="008D0FAA" w:rsidRPr="00C50054" w:rsidRDefault="008D0FAA" w:rsidP="008D0FAA">
            <w:pPr>
              <w:tabs>
                <w:tab w:val="left" w:pos="5490"/>
              </w:tabs>
              <w:jc w:val="center"/>
              <w:rPr>
                <w:rFonts w:ascii="Garamond" w:hAnsi="Garamond" w:cs="Calibri"/>
                <w:color w:val="00B050"/>
              </w:rPr>
            </w:pPr>
            <w:r w:rsidRPr="00C50054">
              <w:rPr>
                <w:rFonts w:ascii="Garamond" w:hAnsi="Garamond" w:cs="Calibri"/>
                <w:color w:val="548235"/>
              </w:rPr>
              <w:t>+298.91</w:t>
            </w:r>
          </w:p>
        </w:tc>
        <w:tc>
          <w:tcPr>
            <w:tcW w:w="1845" w:type="dxa"/>
            <w:vAlign w:val="center"/>
          </w:tcPr>
          <w:p w14:paraId="21061803" w14:textId="05C0D08F" w:rsidR="008D0FAA" w:rsidRPr="00C50054" w:rsidRDefault="008D0FAA" w:rsidP="008D0FAA">
            <w:pPr>
              <w:tabs>
                <w:tab w:val="left" w:pos="5490"/>
              </w:tabs>
              <w:jc w:val="center"/>
              <w:rPr>
                <w:rFonts w:ascii="Garamond" w:hAnsi="Garamond" w:cs="Calibri"/>
                <w:color w:val="00B050"/>
              </w:rPr>
            </w:pPr>
            <w:r w:rsidRPr="00C50054">
              <w:rPr>
                <w:rFonts w:ascii="Garamond" w:hAnsi="Garamond" w:cs="Calibri"/>
                <w:color w:val="548235"/>
              </w:rPr>
              <w:t>+15.14</w:t>
            </w:r>
          </w:p>
        </w:tc>
      </w:tr>
      <w:tr w:rsidR="008D0FAA" w:rsidRPr="00C50054" w14:paraId="675635D0" w14:textId="77777777" w:rsidTr="00C50054">
        <w:trPr>
          <w:trHeight w:val="740"/>
        </w:trPr>
        <w:tc>
          <w:tcPr>
            <w:tcW w:w="2455" w:type="dxa"/>
            <w:gridSpan w:val="2"/>
            <w:vAlign w:val="center"/>
          </w:tcPr>
          <w:p w14:paraId="38BAAA97" w14:textId="77777777" w:rsidR="008D0FAA" w:rsidRPr="00C50054" w:rsidRDefault="008D0FAA" w:rsidP="008D0FAA">
            <w:pPr>
              <w:tabs>
                <w:tab w:val="left" w:pos="5490"/>
              </w:tabs>
              <w:jc w:val="center"/>
              <w:rPr>
                <w:rFonts w:ascii="Garamond" w:hAnsi="Garamond" w:cs="Calibri"/>
              </w:rPr>
            </w:pPr>
            <w:r w:rsidRPr="00C50054">
              <w:rPr>
                <w:rFonts w:ascii="Garamond" w:hAnsi="Garamond" w:cs="Calibri"/>
                <w:color w:val="000000"/>
              </w:rPr>
              <w:t>Bloomberg Aggregate Bond</w:t>
            </w:r>
          </w:p>
        </w:tc>
        <w:tc>
          <w:tcPr>
            <w:tcW w:w="1845" w:type="dxa"/>
            <w:vAlign w:val="center"/>
          </w:tcPr>
          <w:p w14:paraId="6C2F2B29" w14:textId="77777777" w:rsidR="008D0FAA" w:rsidRPr="00C50054" w:rsidRDefault="008D0FAA" w:rsidP="008D0FAA">
            <w:pPr>
              <w:tabs>
                <w:tab w:val="left" w:pos="5490"/>
              </w:tabs>
              <w:jc w:val="center"/>
              <w:rPr>
                <w:rFonts w:ascii="Garamond" w:hAnsi="Garamond" w:cs="Calibri"/>
              </w:rPr>
            </w:pPr>
            <w:r w:rsidRPr="00C50054">
              <w:rPr>
                <w:rFonts w:ascii="Garamond" w:hAnsi="Garamond" w:cs="Calibri"/>
              </w:rPr>
              <w:t>2,392.02</w:t>
            </w:r>
          </w:p>
        </w:tc>
        <w:tc>
          <w:tcPr>
            <w:tcW w:w="1845" w:type="dxa"/>
            <w:vAlign w:val="center"/>
          </w:tcPr>
          <w:p w14:paraId="6897BF99" w14:textId="2D4D3B36" w:rsidR="008D0FAA" w:rsidRPr="00C50054" w:rsidRDefault="008D0FAA" w:rsidP="008D0FAA">
            <w:pPr>
              <w:tabs>
                <w:tab w:val="left" w:pos="5490"/>
              </w:tabs>
              <w:jc w:val="center"/>
              <w:rPr>
                <w:rFonts w:ascii="Garamond" w:hAnsi="Garamond" w:cs="Calibri"/>
              </w:rPr>
            </w:pPr>
            <w:r w:rsidRPr="00C50054">
              <w:rPr>
                <w:rFonts w:ascii="Garamond" w:hAnsi="Garamond" w:cs="Calibri"/>
                <w:color w:val="000000"/>
              </w:rPr>
              <w:t>2,378.43</w:t>
            </w:r>
          </w:p>
        </w:tc>
        <w:tc>
          <w:tcPr>
            <w:tcW w:w="1845" w:type="dxa"/>
            <w:vAlign w:val="center"/>
          </w:tcPr>
          <w:p w14:paraId="209E4C97" w14:textId="2930B47D" w:rsidR="008D0FAA" w:rsidRPr="00C50054" w:rsidRDefault="008D0FAA" w:rsidP="008D0FAA">
            <w:pPr>
              <w:tabs>
                <w:tab w:val="left" w:pos="5490"/>
              </w:tabs>
              <w:jc w:val="center"/>
              <w:rPr>
                <w:rFonts w:ascii="Garamond" w:hAnsi="Garamond" w:cs="Calibri"/>
                <w:color w:val="00B050"/>
              </w:rPr>
            </w:pPr>
            <w:r w:rsidRPr="00C50054">
              <w:rPr>
                <w:rFonts w:ascii="Garamond" w:hAnsi="Garamond" w:cs="Calibri"/>
                <w:color w:val="C00000"/>
              </w:rPr>
              <w:t>-13.59</w:t>
            </w:r>
          </w:p>
        </w:tc>
        <w:tc>
          <w:tcPr>
            <w:tcW w:w="1845" w:type="dxa"/>
            <w:vAlign w:val="center"/>
          </w:tcPr>
          <w:p w14:paraId="73ED07EE" w14:textId="510DB9AB" w:rsidR="008D0FAA" w:rsidRPr="00C50054" w:rsidRDefault="008D0FAA" w:rsidP="008D0FAA">
            <w:pPr>
              <w:tabs>
                <w:tab w:val="left" w:pos="5490"/>
              </w:tabs>
              <w:jc w:val="center"/>
              <w:rPr>
                <w:rFonts w:ascii="Garamond" w:hAnsi="Garamond" w:cs="Calibri"/>
                <w:color w:val="00B050"/>
              </w:rPr>
            </w:pPr>
            <w:r w:rsidRPr="00C50054">
              <w:rPr>
                <w:rFonts w:ascii="Garamond" w:hAnsi="Garamond" w:cs="Calibri"/>
                <w:color w:val="C00000"/>
              </w:rPr>
              <w:t>-0.57</w:t>
            </w:r>
          </w:p>
        </w:tc>
      </w:tr>
      <w:tr w:rsidR="00A86CD6" w:rsidRPr="00C50054" w14:paraId="5688E500" w14:textId="77777777" w:rsidTr="00C50054">
        <w:tblPrEx>
          <w:tblCellMar>
            <w:left w:w="108" w:type="dxa"/>
            <w:right w:w="108" w:type="dxa"/>
          </w:tblCellMar>
        </w:tblPrEx>
        <w:trPr>
          <w:gridBefore w:val="1"/>
          <w:wBefore w:w="7" w:type="dxa"/>
          <w:trHeight w:val="491"/>
        </w:trPr>
        <w:tc>
          <w:tcPr>
            <w:tcW w:w="9828" w:type="dxa"/>
            <w:gridSpan w:val="5"/>
            <w:tcBorders>
              <w:top w:val="single" w:sz="4" w:space="0" w:color="auto"/>
              <w:left w:val="nil"/>
              <w:bottom w:val="nil"/>
              <w:right w:val="nil"/>
            </w:tcBorders>
            <w:vAlign w:val="center"/>
          </w:tcPr>
          <w:p w14:paraId="715B4C3E" w14:textId="77777777" w:rsidR="00A86CD6" w:rsidRPr="00C50054" w:rsidRDefault="00A86CD6" w:rsidP="00A162F6">
            <w:pPr>
              <w:tabs>
                <w:tab w:val="left" w:pos="5490"/>
              </w:tabs>
              <w:jc w:val="right"/>
              <w:rPr>
                <w:rFonts w:ascii="Garamond" w:hAnsi="Garamond" w:cs="Calibri"/>
                <w:sz w:val="18"/>
              </w:rPr>
            </w:pPr>
            <w:r w:rsidRPr="00C50054">
              <w:rPr>
                <w:rFonts w:ascii="Garamond" w:hAnsi="Garamond" w:cs="Calibri"/>
                <w:sz w:val="18"/>
              </w:rPr>
              <w:t xml:space="preserve">Performance reflects price returns as of market close on </w:t>
            </w:r>
            <w:r w:rsidR="00A162F6" w:rsidRPr="00C50054">
              <w:rPr>
                <w:rFonts w:ascii="Garamond" w:hAnsi="Garamond" w:cs="Calibri"/>
                <w:sz w:val="18"/>
              </w:rPr>
              <w:t>August</w:t>
            </w:r>
            <w:r w:rsidRPr="00C50054">
              <w:rPr>
                <w:rFonts w:ascii="Garamond" w:hAnsi="Garamond" w:cs="Calibri"/>
                <w:sz w:val="18"/>
              </w:rPr>
              <w:t xml:space="preserve"> 3</w:t>
            </w:r>
            <w:r w:rsidR="00A162F6" w:rsidRPr="00C50054">
              <w:rPr>
                <w:rFonts w:ascii="Garamond" w:hAnsi="Garamond" w:cs="Calibri"/>
                <w:sz w:val="18"/>
              </w:rPr>
              <w:t>1</w:t>
            </w:r>
            <w:r w:rsidRPr="00C50054">
              <w:rPr>
                <w:rFonts w:ascii="Garamond" w:hAnsi="Garamond" w:cs="Calibri"/>
                <w:sz w:val="18"/>
              </w:rPr>
              <w:t xml:space="preserve">, 2021. MSCI EAFE and the Bloomberg Aggregate Bond figures reflect </w:t>
            </w:r>
            <w:r w:rsidR="00A162F6" w:rsidRPr="00C50054">
              <w:rPr>
                <w:rFonts w:ascii="Garamond" w:hAnsi="Garamond" w:cs="Calibri"/>
                <w:sz w:val="18"/>
              </w:rPr>
              <w:t>August 30</w:t>
            </w:r>
            <w:r w:rsidRPr="00C50054">
              <w:rPr>
                <w:rFonts w:ascii="Garamond" w:hAnsi="Garamond" w:cs="Calibri"/>
                <w:sz w:val="18"/>
              </w:rPr>
              <w:t xml:space="preserve">, 2021, closing values. </w:t>
            </w:r>
          </w:p>
        </w:tc>
      </w:tr>
    </w:tbl>
    <w:p w14:paraId="5CC62237" w14:textId="3C9797AD" w:rsidR="00A86CD6" w:rsidRPr="00C50054" w:rsidRDefault="00A86CD6" w:rsidP="00A86CD6">
      <w:pPr>
        <w:rPr>
          <w:rFonts w:ascii="Garamond" w:hAnsi="Garamond"/>
        </w:rPr>
      </w:pPr>
      <w:r w:rsidRPr="00C50054">
        <w:rPr>
          <w:rFonts w:ascii="Garamond" w:hAnsi="Garamond"/>
        </w:rPr>
        <w:t xml:space="preserve">Here are some other notable events and trends through </w:t>
      </w:r>
      <w:r w:rsidR="00A162F6" w:rsidRPr="00C50054">
        <w:rPr>
          <w:rFonts w:ascii="Garamond" w:hAnsi="Garamond"/>
        </w:rPr>
        <w:t>August.</w:t>
      </w:r>
    </w:p>
    <w:p w14:paraId="19988DDF" w14:textId="77777777" w:rsidR="00C50054" w:rsidRDefault="00C50054" w:rsidP="00A86CD6">
      <w:pPr>
        <w:rPr>
          <w:rFonts w:ascii="Garamond" w:hAnsi="Garamond"/>
          <w:b/>
        </w:rPr>
      </w:pPr>
    </w:p>
    <w:p w14:paraId="10EBA7FA" w14:textId="77777777" w:rsidR="00C50054" w:rsidRDefault="00A162F6" w:rsidP="00A86CD6">
      <w:pPr>
        <w:rPr>
          <w:rFonts w:ascii="Garamond" w:hAnsi="Garamond"/>
          <w:b/>
        </w:rPr>
      </w:pPr>
      <w:r w:rsidRPr="00C50054">
        <w:rPr>
          <w:rFonts w:ascii="Garamond" w:hAnsi="Garamond"/>
          <w:b/>
        </w:rPr>
        <w:t>S&amp;P 500 continues climb</w:t>
      </w:r>
    </w:p>
    <w:p w14:paraId="128DD893" w14:textId="31D34430" w:rsidR="00A162F6" w:rsidRPr="00C50054" w:rsidRDefault="00A162F6" w:rsidP="00A86CD6">
      <w:pPr>
        <w:rPr>
          <w:rFonts w:ascii="Garamond" w:hAnsi="Garamond"/>
          <w:b/>
        </w:rPr>
      </w:pPr>
      <w:r w:rsidRPr="00C50054">
        <w:rPr>
          <w:rFonts w:ascii="Garamond" w:hAnsi="Garamond"/>
        </w:rPr>
        <w:t>The S&amp;P 500 notched seven consecutive month</w:t>
      </w:r>
      <w:r w:rsidR="00861E76" w:rsidRPr="00C50054">
        <w:rPr>
          <w:rFonts w:ascii="Garamond" w:hAnsi="Garamond"/>
        </w:rPr>
        <w:t>s</w:t>
      </w:r>
      <w:r w:rsidRPr="00C50054">
        <w:rPr>
          <w:rFonts w:ascii="Garamond" w:hAnsi="Garamond"/>
        </w:rPr>
        <w:t xml:space="preserve"> of positive p</w:t>
      </w:r>
      <w:r w:rsidR="00654956" w:rsidRPr="00C50054">
        <w:rPr>
          <w:rFonts w:ascii="Garamond" w:hAnsi="Garamond"/>
        </w:rPr>
        <w:t>erformance on its way to setting</w:t>
      </w:r>
      <w:r w:rsidR="009379F1" w:rsidRPr="00C50054">
        <w:rPr>
          <w:rFonts w:ascii="Garamond" w:hAnsi="Garamond"/>
        </w:rPr>
        <w:t xml:space="preserve"> 53 </w:t>
      </w:r>
      <w:r w:rsidRPr="00C50054">
        <w:rPr>
          <w:rFonts w:ascii="Garamond" w:hAnsi="Garamond"/>
        </w:rPr>
        <w:t xml:space="preserve">record highs through the first eight months of the year. </w:t>
      </w:r>
      <w:r w:rsidR="005224B6" w:rsidRPr="00C50054">
        <w:rPr>
          <w:rFonts w:ascii="Garamond" w:hAnsi="Garamond"/>
        </w:rPr>
        <w:t xml:space="preserve">Sector rotation continues to transpire, but the S&amp;P 500 breakout to new highs in August came </w:t>
      </w:r>
      <w:r w:rsidR="005224B6" w:rsidRPr="00C50054">
        <w:rPr>
          <w:rFonts w:ascii="Garamond" w:hAnsi="Garamond"/>
        </w:rPr>
        <w:lastRenderedPageBreak/>
        <w:t>on improved participation beneath the surface</w:t>
      </w:r>
      <w:r w:rsidR="00BA6DC1" w:rsidRPr="00C50054">
        <w:rPr>
          <w:rFonts w:ascii="Garamond" w:hAnsi="Garamond"/>
        </w:rPr>
        <w:t xml:space="preserve"> –</w:t>
      </w:r>
      <w:r w:rsidR="005224B6" w:rsidRPr="00C50054">
        <w:rPr>
          <w:rFonts w:ascii="Garamond" w:hAnsi="Garamond"/>
        </w:rPr>
        <w:t xml:space="preserve"> a welcome sign technically for a market that had gotten </w:t>
      </w:r>
      <w:proofErr w:type="gramStart"/>
      <w:r w:rsidR="005224B6" w:rsidRPr="00C50054">
        <w:rPr>
          <w:rFonts w:ascii="Garamond" w:hAnsi="Garamond"/>
        </w:rPr>
        <w:t>fairly narrow</w:t>
      </w:r>
      <w:proofErr w:type="gramEnd"/>
      <w:r w:rsidR="005224B6" w:rsidRPr="00C50054">
        <w:rPr>
          <w:rFonts w:ascii="Garamond" w:hAnsi="Garamond"/>
        </w:rPr>
        <w:t>. We continue to recommend a balanced, but pro-cyclical tilt to sector allocations.</w:t>
      </w:r>
    </w:p>
    <w:p w14:paraId="66BA290F" w14:textId="77777777" w:rsidR="00422D41" w:rsidRPr="00C50054" w:rsidRDefault="00422D41" w:rsidP="00A86CD6">
      <w:pPr>
        <w:rPr>
          <w:rFonts w:ascii="Garamond" w:hAnsi="Garamond"/>
          <w:b/>
        </w:rPr>
      </w:pPr>
      <w:r w:rsidRPr="00C50054">
        <w:rPr>
          <w:rFonts w:ascii="Garamond" w:hAnsi="Garamond"/>
          <w:b/>
        </w:rPr>
        <w:t>Yield curve steepens slightly</w:t>
      </w:r>
    </w:p>
    <w:p w14:paraId="0EC6245B" w14:textId="77777777" w:rsidR="00422D41" w:rsidRPr="00C50054" w:rsidRDefault="00422D41" w:rsidP="00A86CD6">
      <w:pPr>
        <w:rPr>
          <w:rFonts w:ascii="Garamond" w:hAnsi="Garamond"/>
        </w:rPr>
      </w:pPr>
      <w:r w:rsidRPr="00C50054">
        <w:rPr>
          <w:rFonts w:ascii="Garamond" w:hAnsi="Garamond"/>
        </w:rPr>
        <w:t xml:space="preserve">Investor attentiveness intensified again, creating a see-saw effect with interest rates during August. For example, the 10-year Treasury </w:t>
      </w:r>
      <w:r w:rsidR="009379F1" w:rsidRPr="00C50054">
        <w:rPr>
          <w:rFonts w:ascii="Garamond" w:hAnsi="Garamond"/>
        </w:rPr>
        <w:t>yield</w:t>
      </w:r>
      <w:r w:rsidR="00654956" w:rsidRPr="00C50054">
        <w:rPr>
          <w:rFonts w:ascii="Garamond" w:hAnsi="Garamond"/>
        </w:rPr>
        <w:t xml:space="preserve"> stayed in a tight range between</w:t>
      </w:r>
      <w:r w:rsidRPr="00C50054">
        <w:rPr>
          <w:rFonts w:ascii="Garamond" w:hAnsi="Garamond"/>
        </w:rPr>
        <w:t xml:space="preserve"> 1.22%</w:t>
      </w:r>
      <w:r w:rsidR="00654956" w:rsidRPr="00C50054">
        <w:rPr>
          <w:rFonts w:ascii="Garamond" w:hAnsi="Garamond"/>
        </w:rPr>
        <w:t xml:space="preserve"> and</w:t>
      </w:r>
      <w:r w:rsidRPr="00C50054">
        <w:rPr>
          <w:rFonts w:ascii="Garamond" w:hAnsi="Garamond"/>
        </w:rPr>
        <w:t xml:space="preserve"> 1.36%</w:t>
      </w:r>
      <w:r w:rsidR="00654956" w:rsidRPr="00C50054">
        <w:rPr>
          <w:rFonts w:ascii="Garamond" w:hAnsi="Garamond"/>
        </w:rPr>
        <w:t xml:space="preserve"> through the month</w:t>
      </w:r>
      <w:r w:rsidRPr="00C50054">
        <w:rPr>
          <w:rFonts w:ascii="Garamond" w:hAnsi="Garamond"/>
        </w:rPr>
        <w:t>. The net result of this interim volatility was a slight steepening in the yield curve</w:t>
      </w:r>
      <w:r w:rsidR="00861E76" w:rsidRPr="00C50054">
        <w:rPr>
          <w:rFonts w:ascii="Garamond" w:hAnsi="Garamond"/>
        </w:rPr>
        <w:t>; i</w:t>
      </w:r>
      <w:r w:rsidRPr="00C50054">
        <w:rPr>
          <w:rFonts w:ascii="Garamond" w:hAnsi="Garamond"/>
        </w:rPr>
        <w:t>ntermediate and long-term rates were up while the short end finished pretty much where it started</w:t>
      </w:r>
      <w:r w:rsidR="00654956" w:rsidRPr="00C50054">
        <w:rPr>
          <w:rFonts w:ascii="Garamond" w:hAnsi="Garamond"/>
        </w:rPr>
        <w:t>. D</w:t>
      </w:r>
      <w:r w:rsidRPr="00C50054">
        <w:rPr>
          <w:rFonts w:ascii="Garamond" w:hAnsi="Garamond"/>
        </w:rPr>
        <w:t xml:space="preserve">emand remains strong </w:t>
      </w:r>
      <w:r w:rsidR="00654956" w:rsidRPr="00C50054">
        <w:rPr>
          <w:rFonts w:ascii="Garamond" w:hAnsi="Garamond"/>
        </w:rPr>
        <w:t>for shorter maturities</w:t>
      </w:r>
      <w:r w:rsidRPr="00C50054">
        <w:rPr>
          <w:rFonts w:ascii="Garamond" w:hAnsi="Garamond"/>
        </w:rPr>
        <w:t>.</w:t>
      </w:r>
    </w:p>
    <w:p w14:paraId="626D6CDB" w14:textId="77777777" w:rsidR="009C3027" w:rsidRPr="00C50054" w:rsidRDefault="009C3027" w:rsidP="00A86CD6">
      <w:pPr>
        <w:rPr>
          <w:rFonts w:ascii="Garamond" w:hAnsi="Garamond"/>
          <w:b/>
        </w:rPr>
      </w:pPr>
      <w:r w:rsidRPr="00C50054">
        <w:rPr>
          <w:rFonts w:ascii="Garamond" w:hAnsi="Garamond"/>
          <w:b/>
        </w:rPr>
        <w:t>Geopolitics likely to affect federal policy debate</w:t>
      </w:r>
    </w:p>
    <w:p w14:paraId="1AF5F76F" w14:textId="38E50FBA" w:rsidR="00AE2897" w:rsidRPr="00C50054" w:rsidRDefault="00086D35" w:rsidP="00A86CD6">
      <w:pPr>
        <w:rPr>
          <w:rFonts w:ascii="Garamond" w:hAnsi="Garamond"/>
        </w:rPr>
      </w:pPr>
      <w:r w:rsidRPr="00C50054">
        <w:rPr>
          <w:rFonts w:ascii="Garamond" w:hAnsi="Garamond"/>
        </w:rPr>
        <w:t xml:space="preserve">September brings a series of deadlines for fiscal policy, including the start of the fiscal year, the bipartisan infrastructure deal, the debt limit, and the path forward on the proposed $3.5 trillion reconciliation package. There is a lot that needs to be accomplished in a short time and the potential for policy-driven </w:t>
      </w:r>
      <w:r w:rsidR="008D0FAA" w:rsidRPr="00C50054">
        <w:rPr>
          <w:rFonts w:ascii="Garamond" w:hAnsi="Garamond"/>
        </w:rPr>
        <w:t>volatility</w:t>
      </w:r>
      <w:r w:rsidRPr="00C50054">
        <w:rPr>
          <w:rFonts w:ascii="Garamond" w:hAnsi="Garamond"/>
        </w:rPr>
        <w:t xml:space="preserve"> remains high. We continue to expect Democrats looking to deliver a domestic policy win, as they head into the 2021 and the midterm elections.</w:t>
      </w:r>
    </w:p>
    <w:p w14:paraId="69222A0C" w14:textId="77777777" w:rsidR="009C3027" w:rsidRPr="00C50054" w:rsidRDefault="009C3027" w:rsidP="00A86CD6">
      <w:pPr>
        <w:rPr>
          <w:rFonts w:ascii="Garamond" w:hAnsi="Garamond"/>
          <w:b/>
        </w:rPr>
      </w:pPr>
      <w:r w:rsidRPr="00C50054">
        <w:rPr>
          <w:rFonts w:ascii="Garamond" w:hAnsi="Garamond"/>
          <w:b/>
        </w:rPr>
        <w:t>International markets produce small gains</w:t>
      </w:r>
    </w:p>
    <w:p w14:paraId="5EB40E8F" w14:textId="77777777" w:rsidR="009C3027" w:rsidRPr="00C50054" w:rsidRDefault="009C3027" w:rsidP="00A86CD6">
      <w:pPr>
        <w:rPr>
          <w:rFonts w:ascii="Garamond" w:hAnsi="Garamond"/>
        </w:rPr>
      </w:pPr>
      <w:r w:rsidRPr="00C50054">
        <w:rPr>
          <w:rFonts w:ascii="Garamond" w:hAnsi="Garamond"/>
        </w:rPr>
        <w:t xml:space="preserve">Assisted by continued progress in the quarterly corporate earnings growth season, markets in both Europe and Asia produced small monthly gains despite heightened inflation talk. </w:t>
      </w:r>
      <w:r w:rsidR="00861E76" w:rsidRPr="00C50054">
        <w:rPr>
          <w:rFonts w:ascii="Garamond" w:hAnsi="Garamond"/>
        </w:rPr>
        <w:t>T</w:t>
      </w:r>
      <w:r w:rsidRPr="00C50054">
        <w:rPr>
          <w:rFonts w:ascii="Garamond" w:hAnsi="Garamond"/>
        </w:rPr>
        <w:t xml:space="preserve">he need for tighter central bank policy was apparent in South Korea, Mexico and Brazil during recent weeks, a discussion </w:t>
      </w:r>
      <w:r w:rsidR="00861E76" w:rsidRPr="00C50054">
        <w:rPr>
          <w:rFonts w:ascii="Garamond" w:hAnsi="Garamond"/>
        </w:rPr>
        <w:t>that</w:t>
      </w:r>
      <w:r w:rsidRPr="00C50054">
        <w:rPr>
          <w:rFonts w:ascii="Garamond" w:hAnsi="Garamond"/>
        </w:rPr>
        <w:t xml:space="preserve"> will deepen in many other countries over the next year.</w:t>
      </w:r>
    </w:p>
    <w:p w14:paraId="3C9F7BFC" w14:textId="77777777" w:rsidR="00A86CD6" w:rsidRPr="00C50054" w:rsidRDefault="00A86CD6" w:rsidP="00A86CD6">
      <w:pPr>
        <w:rPr>
          <w:rFonts w:ascii="Garamond" w:hAnsi="Garamond"/>
          <w:b/>
        </w:rPr>
      </w:pPr>
      <w:r w:rsidRPr="00C50054">
        <w:rPr>
          <w:rFonts w:ascii="Garamond" w:hAnsi="Garamond"/>
          <w:b/>
        </w:rPr>
        <w:t>The bottom line</w:t>
      </w:r>
    </w:p>
    <w:p w14:paraId="4D644BF0" w14:textId="77777777" w:rsidR="009C3027" w:rsidRPr="00C50054" w:rsidRDefault="009C3027" w:rsidP="00A86CD6">
      <w:pPr>
        <w:rPr>
          <w:rFonts w:ascii="Garamond" w:hAnsi="Garamond"/>
        </w:rPr>
      </w:pPr>
      <w:r w:rsidRPr="00C50054">
        <w:rPr>
          <w:rFonts w:ascii="Garamond" w:hAnsi="Garamond"/>
        </w:rPr>
        <w:t>We remain positive on the fundamental backdrop</w:t>
      </w:r>
      <w:r w:rsidR="006706BA" w:rsidRPr="00C50054">
        <w:rPr>
          <w:rFonts w:ascii="Garamond" w:hAnsi="Garamond"/>
        </w:rPr>
        <w:t xml:space="preserve"> for the capital markets</w:t>
      </w:r>
      <w:r w:rsidRPr="00C50054">
        <w:rPr>
          <w:rFonts w:ascii="Garamond" w:hAnsi="Garamond"/>
        </w:rPr>
        <w:t>.</w:t>
      </w:r>
      <w:r w:rsidR="006706BA" w:rsidRPr="00C50054">
        <w:rPr>
          <w:rFonts w:ascii="Garamond" w:hAnsi="Garamond"/>
        </w:rPr>
        <w:t xml:space="preserve"> Earnings</w:t>
      </w:r>
      <w:r w:rsidRPr="00C50054">
        <w:rPr>
          <w:rFonts w:ascii="Garamond" w:hAnsi="Garamond"/>
        </w:rPr>
        <w:t xml:space="preserve"> season finished well ahead of expectations for the fifth quarter in a row, and we believe upside remains for forward estimates. </w:t>
      </w:r>
      <w:r w:rsidR="00861E76" w:rsidRPr="00C50054">
        <w:rPr>
          <w:rFonts w:ascii="Garamond" w:hAnsi="Garamond"/>
        </w:rPr>
        <w:t xml:space="preserve">Investors can expect short-term volatility as we work through </w:t>
      </w:r>
      <w:r w:rsidR="006706BA" w:rsidRPr="00C50054">
        <w:rPr>
          <w:rFonts w:ascii="Garamond" w:hAnsi="Garamond"/>
        </w:rPr>
        <w:t>debate</w:t>
      </w:r>
      <w:r w:rsidR="00654956" w:rsidRPr="00C50054">
        <w:rPr>
          <w:rFonts w:ascii="Garamond" w:hAnsi="Garamond"/>
        </w:rPr>
        <w:t>s</w:t>
      </w:r>
      <w:r w:rsidR="006706BA" w:rsidRPr="00C50054">
        <w:rPr>
          <w:rFonts w:ascii="Garamond" w:hAnsi="Garamond"/>
        </w:rPr>
        <w:t xml:space="preserve"> about </w:t>
      </w:r>
      <w:r w:rsidRPr="00C50054">
        <w:rPr>
          <w:rFonts w:ascii="Garamond" w:hAnsi="Garamond"/>
        </w:rPr>
        <w:t>tax</w:t>
      </w:r>
      <w:r w:rsidR="006706BA" w:rsidRPr="00C50054">
        <w:rPr>
          <w:rFonts w:ascii="Garamond" w:hAnsi="Garamond"/>
        </w:rPr>
        <w:t xml:space="preserve">es, infrastructure and the </w:t>
      </w:r>
      <w:r w:rsidRPr="00C50054">
        <w:rPr>
          <w:rFonts w:ascii="Garamond" w:hAnsi="Garamond"/>
        </w:rPr>
        <w:t>debt ceiling</w:t>
      </w:r>
      <w:r w:rsidR="006706BA" w:rsidRPr="00C50054">
        <w:rPr>
          <w:rFonts w:ascii="Garamond" w:hAnsi="Garamond"/>
        </w:rPr>
        <w:t xml:space="preserve">, </w:t>
      </w:r>
      <w:r w:rsidRPr="00C50054">
        <w:rPr>
          <w:rFonts w:ascii="Garamond" w:hAnsi="Garamond"/>
        </w:rPr>
        <w:t xml:space="preserve">but the fundamental and technical backdrop </w:t>
      </w:r>
      <w:r w:rsidR="001E78CD" w:rsidRPr="00C50054">
        <w:rPr>
          <w:rFonts w:ascii="Garamond" w:hAnsi="Garamond"/>
        </w:rPr>
        <w:t>appear</w:t>
      </w:r>
      <w:r w:rsidRPr="00C50054">
        <w:rPr>
          <w:rFonts w:ascii="Garamond" w:hAnsi="Garamond"/>
        </w:rPr>
        <w:t xml:space="preserve"> supporti</w:t>
      </w:r>
      <w:r w:rsidR="006706BA" w:rsidRPr="00C50054">
        <w:rPr>
          <w:rFonts w:ascii="Garamond" w:hAnsi="Garamond"/>
        </w:rPr>
        <w:t xml:space="preserve">ve </w:t>
      </w:r>
      <w:r w:rsidR="00315E85" w:rsidRPr="00C50054">
        <w:rPr>
          <w:rFonts w:ascii="Garamond" w:hAnsi="Garamond"/>
        </w:rPr>
        <w:t xml:space="preserve">of equities </w:t>
      </w:r>
      <w:r w:rsidR="006706BA" w:rsidRPr="00C50054">
        <w:rPr>
          <w:rFonts w:ascii="Garamond" w:hAnsi="Garamond"/>
        </w:rPr>
        <w:t>over the intermediate term.</w:t>
      </w:r>
    </w:p>
    <w:p w14:paraId="1BC2046A" w14:textId="5DD89DC3" w:rsidR="00A86CD6" w:rsidRPr="00C50054" w:rsidRDefault="00A86CD6" w:rsidP="00A86CD6">
      <w:pPr>
        <w:rPr>
          <w:rFonts w:ascii="Garamond" w:hAnsi="Garamond"/>
        </w:rPr>
      </w:pPr>
      <w:r w:rsidRPr="00C50054">
        <w:rPr>
          <w:rFonts w:ascii="Garamond" w:hAnsi="Garamond"/>
        </w:rPr>
        <w:t>If you have any questions about your investments, your financial plan, this letter – or anything else – please reach out at your earliest convenience.</w:t>
      </w:r>
      <w:r w:rsidR="00C50054">
        <w:rPr>
          <w:rFonts w:ascii="Garamond" w:hAnsi="Garamond"/>
        </w:rPr>
        <w:t xml:space="preserve"> We</w:t>
      </w:r>
      <w:r w:rsidRPr="00C50054">
        <w:rPr>
          <w:rFonts w:ascii="Garamond" w:hAnsi="Garamond"/>
        </w:rPr>
        <w:t xml:space="preserve"> remain grateful for our relationship and your continued trust in</w:t>
      </w:r>
      <w:r w:rsidR="00C50054">
        <w:rPr>
          <w:rFonts w:ascii="Garamond" w:hAnsi="Garamond"/>
        </w:rPr>
        <w:t xml:space="preserve"> us.</w:t>
      </w:r>
    </w:p>
    <w:p w14:paraId="07398EF7" w14:textId="18681C2C" w:rsidR="00A86CD6" w:rsidRDefault="00A86CD6" w:rsidP="00C50054">
      <w:pPr>
        <w:rPr>
          <w:rFonts w:ascii="Garamond" w:hAnsi="Garamond"/>
        </w:rPr>
      </w:pPr>
      <w:r w:rsidRPr="00C50054">
        <w:rPr>
          <w:rFonts w:ascii="Garamond" w:hAnsi="Garamond"/>
        </w:rPr>
        <w:t>Sincerely,</w:t>
      </w:r>
    </w:p>
    <w:p w14:paraId="6D0D7F8D" w14:textId="331384E3" w:rsidR="00C50054" w:rsidRPr="00C50054" w:rsidRDefault="00C50054" w:rsidP="00C50054">
      <w:pPr>
        <w:rPr>
          <w:rFonts w:ascii="Garamond" w:hAnsi="Garamond" w:cs="Calibri"/>
          <w:b/>
          <w:color w:val="FF0000"/>
        </w:rPr>
      </w:pPr>
      <w:r>
        <w:rPr>
          <w:rFonts w:ascii="Garamond" w:hAnsi="Garamond"/>
        </w:rPr>
        <w:t>Your WealthPlan Advisors Team</w:t>
      </w:r>
    </w:p>
    <w:p w14:paraId="0BC18FB7" w14:textId="77777777" w:rsidR="00C50054" w:rsidRDefault="00C50054" w:rsidP="00567703">
      <w:pPr>
        <w:rPr>
          <w:rFonts w:ascii="Garamond" w:hAnsi="Garamond"/>
          <w:color w:val="A6A6A6" w:themeColor="background1" w:themeShade="A6"/>
          <w:sz w:val="16"/>
          <w:szCs w:val="16"/>
        </w:rPr>
      </w:pPr>
    </w:p>
    <w:p w14:paraId="22868CD0" w14:textId="77777777" w:rsidR="00C50054" w:rsidRDefault="00C50054" w:rsidP="00567703">
      <w:pPr>
        <w:rPr>
          <w:rFonts w:ascii="Garamond" w:hAnsi="Garamond"/>
          <w:color w:val="A6A6A6" w:themeColor="background1" w:themeShade="A6"/>
          <w:sz w:val="16"/>
          <w:szCs w:val="16"/>
        </w:rPr>
      </w:pPr>
    </w:p>
    <w:p w14:paraId="44D67AC7" w14:textId="520700ED" w:rsidR="00C50054" w:rsidRDefault="00C50054" w:rsidP="00567703">
      <w:pPr>
        <w:rPr>
          <w:rFonts w:ascii="Garamond" w:hAnsi="Garamond"/>
          <w:color w:val="A6A6A6" w:themeColor="background1" w:themeShade="A6"/>
          <w:sz w:val="16"/>
          <w:szCs w:val="16"/>
        </w:rPr>
      </w:pPr>
    </w:p>
    <w:p w14:paraId="71BB64E7" w14:textId="3D1AE5D5" w:rsidR="00C50054" w:rsidRDefault="00C50054" w:rsidP="00567703">
      <w:pPr>
        <w:rPr>
          <w:rFonts w:ascii="Garamond" w:hAnsi="Garamond"/>
          <w:color w:val="A6A6A6" w:themeColor="background1" w:themeShade="A6"/>
          <w:sz w:val="16"/>
          <w:szCs w:val="16"/>
        </w:rPr>
      </w:pPr>
    </w:p>
    <w:p w14:paraId="4BEFF638" w14:textId="4FC59404" w:rsidR="00C50054" w:rsidRDefault="00C50054" w:rsidP="00567703">
      <w:pPr>
        <w:rPr>
          <w:rFonts w:ascii="Garamond" w:hAnsi="Garamond"/>
          <w:color w:val="A6A6A6" w:themeColor="background1" w:themeShade="A6"/>
          <w:sz w:val="16"/>
          <w:szCs w:val="16"/>
        </w:rPr>
      </w:pPr>
    </w:p>
    <w:p w14:paraId="196793B8" w14:textId="77777777" w:rsidR="00C50054" w:rsidRDefault="00C50054" w:rsidP="00567703">
      <w:pPr>
        <w:rPr>
          <w:rFonts w:ascii="Garamond" w:hAnsi="Garamond"/>
          <w:color w:val="A6A6A6" w:themeColor="background1" w:themeShade="A6"/>
          <w:sz w:val="16"/>
          <w:szCs w:val="16"/>
        </w:rPr>
      </w:pPr>
    </w:p>
    <w:p w14:paraId="462E40C5" w14:textId="7330F690" w:rsidR="00567703" w:rsidRPr="00C50054" w:rsidRDefault="00567703" w:rsidP="00567703">
      <w:pPr>
        <w:rPr>
          <w:rFonts w:ascii="Garamond" w:hAnsi="Garamond"/>
          <w:color w:val="A6A6A6" w:themeColor="background1" w:themeShade="A6"/>
          <w:sz w:val="16"/>
          <w:szCs w:val="16"/>
        </w:rPr>
      </w:pPr>
      <w:r w:rsidRPr="00C50054">
        <w:rPr>
          <w:rFonts w:ascii="Garamond" w:hAnsi="Garamond"/>
          <w:color w:val="A6A6A6" w:themeColor="background1" w:themeShade="A6"/>
          <w:sz w:val="16"/>
          <w:szCs w:val="16"/>
        </w:rPr>
        <w:t xml:space="preserve">All investments are subject to risk, including loss. All expressions of opinion reflect the judgment of the authors and are subject to change. There is no assurance the trends mentioned will continue or that the forecasts discussed will be realized. Past performance may not be indicative of future results. Economic and market conditions are subject to change. The Dow Jones Industrial Average is an unmanaged index of 30 widely held stocks. The NASDAQ Composite Index is an unmanaged index of all common stocks listed on the NASDAQ National Stock Market. The S&amp;P 500 is an unmanaged index of 500 widely held stocks. The MSCI EAFE (Europe, Australia, Far East) index is an unmanaged index that is generally considered representative of the international stock market. The Russell 2000 is an unmanaged index of small-cap securities. The Bloomberg Barclays U.S. Aggregate Bond Index is a broad-based flagship benchmark that measures the investment grade, U.S. dollar-denominated, fixed-rate taxable bond market. An investment cannot be made in these indexes. </w:t>
      </w:r>
    </w:p>
    <w:p w14:paraId="77779164" w14:textId="77777777" w:rsidR="00567703" w:rsidRPr="00C50054" w:rsidRDefault="00567703" w:rsidP="00567703">
      <w:pPr>
        <w:rPr>
          <w:rFonts w:ascii="Garamond" w:hAnsi="Garamond"/>
          <w:color w:val="A6A6A6" w:themeColor="background1" w:themeShade="A6"/>
          <w:sz w:val="16"/>
          <w:szCs w:val="16"/>
        </w:rPr>
      </w:pPr>
    </w:p>
    <w:p w14:paraId="4111A2A3" w14:textId="27891189" w:rsidR="00567703" w:rsidRPr="00C50054" w:rsidRDefault="00567703" w:rsidP="00567703">
      <w:pPr>
        <w:rPr>
          <w:rFonts w:ascii="Garamond" w:hAnsi="Garamond"/>
          <w:color w:val="A6A6A6" w:themeColor="background1" w:themeShade="A6"/>
          <w:sz w:val="16"/>
          <w:szCs w:val="16"/>
        </w:rPr>
      </w:pPr>
      <w:r w:rsidRPr="00C50054">
        <w:rPr>
          <w:rFonts w:ascii="Garamond" w:hAnsi="Garamond"/>
          <w:color w:val="A6A6A6" w:themeColor="background1" w:themeShade="A6"/>
          <w:sz w:val="16"/>
          <w:szCs w:val="16"/>
        </w:rPr>
        <w:t>The performance mentioned does not include fees and charges, which would reduce an investor’s returns. Small-cap securities generally involve greater risks. International investing is subject to additional risks such as currency fluctuations, different financial accounting standards by country, and possible political and economic risks. These risks may be greater in emerging markets. Companies engaged in business related to a specific sector are subject to fierce competition and their products and services may be subject to rapid obsolescence. There are additional risks associated with investing in an individual sector, including limited diversification. The value of fixed income securities fluctuates and investors may receive more or less than their original investments if sold prior to maturity. High-yield bonds are not suitable for all investors. Material prepared by Raymond James for use by advisors</w:t>
      </w:r>
    </w:p>
    <w:p w14:paraId="5C99240D" w14:textId="52FAFFF4" w:rsidR="00A86CD6" w:rsidRDefault="00A86CD6" w:rsidP="00A86CD6"/>
    <w:sectPr w:rsidR="00A86CD6" w:rsidSect="00C500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1"/>
      </oel:ext>
    </int:extLst>
  </int:IntelligenceSettings>
  <int:Manifest>
    <int:WordHash hashCode="JhoM56oiDNYlw2" id="DkhCTvNP"/>
    <int:WordHash hashCode="dalNooyseA++F1" id="gBnDjjgB"/>
    <int:WordHash hashCode="43K/JlIt1QZTyM" id="92WMC1Wf"/>
    <int:WordHash hashCode="7mQ7KpKO7GQ5+k" id="wP4y9qrn"/>
    <int:WordHash hashCode="VpWB23M7j4xzXW" id="AUjwPbCv"/>
    <int:WordHash hashCode="dkmkRuVDysnpuX" id="HLi+FALF"/>
    <int:WordHash hashCode="IEEkdmk2qlIoq+" id="4E/9s4sX"/>
  </int:Manifest>
  <int:Observations>
    <int:Content id="DkhCTvNP">
      <int:Rejection type="AugLoop_Text_Critique"/>
    </int:Content>
    <int:Content id="gBnDjjgB">
      <int:Rejection type="AugLoop_Text_Critique"/>
    </int:Content>
    <int:Content id="92WMC1Wf">
      <int:Rejection type="AugLoop_Text_Critique"/>
    </int:Content>
    <int:Content id="wP4y9qrn">
      <int:Rejection type="AugLoop_Text_Critique"/>
    </int:Content>
    <int:Content id="AUjwPbCv">
      <int:Rejection type="AugLoop_Text_Critique"/>
    </int:Content>
    <int:Content id="HLi+FALF">
      <int:Rejection type="AugLoop_Text_Critique"/>
    </int:Content>
    <int:Content id="4E/9s4sX">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14838"/>
    <w:multiLevelType w:val="multilevel"/>
    <w:tmpl w:val="B8CCDA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BD7B4B"/>
    <w:multiLevelType w:val="multilevel"/>
    <w:tmpl w:val="5DB684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FE328E"/>
    <w:multiLevelType w:val="hybridMultilevel"/>
    <w:tmpl w:val="384C2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98564B"/>
    <w:multiLevelType w:val="hybridMultilevel"/>
    <w:tmpl w:val="F8E042C6"/>
    <w:lvl w:ilvl="0" w:tplc="0DF84F7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CD6"/>
    <w:rsid w:val="00086D35"/>
    <w:rsid w:val="000B536C"/>
    <w:rsid w:val="000E11AE"/>
    <w:rsid w:val="0017544B"/>
    <w:rsid w:val="00187CBA"/>
    <w:rsid w:val="001C67A6"/>
    <w:rsid w:val="001E4DC1"/>
    <w:rsid w:val="001E78CD"/>
    <w:rsid w:val="0022794E"/>
    <w:rsid w:val="00315E85"/>
    <w:rsid w:val="00422D41"/>
    <w:rsid w:val="0043200F"/>
    <w:rsid w:val="00436460"/>
    <w:rsid w:val="004577D0"/>
    <w:rsid w:val="00463E31"/>
    <w:rsid w:val="004731D3"/>
    <w:rsid w:val="00513F3A"/>
    <w:rsid w:val="005224B6"/>
    <w:rsid w:val="0054541A"/>
    <w:rsid w:val="005658B9"/>
    <w:rsid w:val="00567703"/>
    <w:rsid w:val="00654956"/>
    <w:rsid w:val="006706BA"/>
    <w:rsid w:val="006A49B7"/>
    <w:rsid w:val="006D34D8"/>
    <w:rsid w:val="006F0318"/>
    <w:rsid w:val="0072082C"/>
    <w:rsid w:val="00752044"/>
    <w:rsid w:val="007D51F3"/>
    <w:rsid w:val="00861E76"/>
    <w:rsid w:val="008B6DB7"/>
    <w:rsid w:val="008D0FAA"/>
    <w:rsid w:val="009379F1"/>
    <w:rsid w:val="009C3027"/>
    <w:rsid w:val="009D267A"/>
    <w:rsid w:val="00A162F6"/>
    <w:rsid w:val="00A86CD6"/>
    <w:rsid w:val="00AE2897"/>
    <w:rsid w:val="00B25B71"/>
    <w:rsid w:val="00BA6DC1"/>
    <w:rsid w:val="00C46533"/>
    <w:rsid w:val="00C46DF3"/>
    <w:rsid w:val="00C50054"/>
    <w:rsid w:val="00C637FF"/>
    <w:rsid w:val="00CA1A42"/>
    <w:rsid w:val="00CE6549"/>
    <w:rsid w:val="00D166FA"/>
    <w:rsid w:val="00D34261"/>
    <w:rsid w:val="00D407BB"/>
    <w:rsid w:val="00D53A2F"/>
    <w:rsid w:val="00DB0612"/>
    <w:rsid w:val="00E81724"/>
    <w:rsid w:val="00F3602A"/>
    <w:rsid w:val="00F52854"/>
    <w:rsid w:val="00F6022F"/>
    <w:rsid w:val="00FB16FF"/>
    <w:rsid w:val="0EF7446B"/>
    <w:rsid w:val="279CDE2D"/>
    <w:rsid w:val="28F482B4"/>
    <w:rsid w:val="29899803"/>
    <w:rsid w:val="398B2A4F"/>
    <w:rsid w:val="3BE8EE3E"/>
    <w:rsid w:val="465084FA"/>
    <w:rsid w:val="47EDAB5E"/>
    <w:rsid w:val="5C14B47D"/>
    <w:rsid w:val="67D13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79685"/>
  <w15:chartTrackingRefBased/>
  <w15:docId w15:val="{FA695ACD-BC9B-4192-9AAE-1FEEDA13A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C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CD6"/>
    <w:pPr>
      <w:ind w:left="720"/>
      <w:contextualSpacing/>
    </w:pPr>
  </w:style>
  <w:style w:type="character" w:styleId="CommentReference">
    <w:name w:val="annotation reference"/>
    <w:basedOn w:val="DefaultParagraphFont"/>
    <w:uiPriority w:val="99"/>
    <w:semiHidden/>
    <w:unhideWhenUsed/>
    <w:rsid w:val="00A86CD6"/>
    <w:rPr>
      <w:sz w:val="16"/>
      <w:szCs w:val="16"/>
    </w:rPr>
  </w:style>
  <w:style w:type="paragraph" w:styleId="CommentText">
    <w:name w:val="annotation text"/>
    <w:basedOn w:val="Normal"/>
    <w:link w:val="CommentTextChar"/>
    <w:uiPriority w:val="99"/>
    <w:semiHidden/>
    <w:unhideWhenUsed/>
    <w:rsid w:val="00A86CD6"/>
    <w:pPr>
      <w:spacing w:line="240" w:lineRule="auto"/>
    </w:pPr>
    <w:rPr>
      <w:sz w:val="20"/>
      <w:szCs w:val="20"/>
    </w:rPr>
  </w:style>
  <w:style w:type="character" w:customStyle="1" w:styleId="CommentTextChar">
    <w:name w:val="Comment Text Char"/>
    <w:basedOn w:val="DefaultParagraphFont"/>
    <w:link w:val="CommentText"/>
    <w:uiPriority w:val="99"/>
    <w:semiHidden/>
    <w:rsid w:val="00A86CD6"/>
    <w:rPr>
      <w:sz w:val="20"/>
      <w:szCs w:val="20"/>
    </w:rPr>
  </w:style>
  <w:style w:type="paragraph" w:styleId="BalloonText">
    <w:name w:val="Balloon Text"/>
    <w:basedOn w:val="Normal"/>
    <w:link w:val="BalloonTextChar"/>
    <w:uiPriority w:val="99"/>
    <w:semiHidden/>
    <w:unhideWhenUsed/>
    <w:rsid w:val="00A86C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CD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61E76"/>
    <w:rPr>
      <w:b/>
      <w:bCs/>
    </w:rPr>
  </w:style>
  <w:style w:type="character" w:customStyle="1" w:styleId="CommentSubjectChar">
    <w:name w:val="Comment Subject Char"/>
    <w:basedOn w:val="CommentTextChar"/>
    <w:link w:val="CommentSubject"/>
    <w:uiPriority w:val="99"/>
    <w:semiHidden/>
    <w:rsid w:val="00861E76"/>
    <w:rPr>
      <w:b/>
      <w:bCs/>
      <w:sz w:val="20"/>
      <w:szCs w:val="20"/>
    </w:rPr>
  </w:style>
  <w:style w:type="character" w:styleId="Hyperlink">
    <w:name w:val="Hyperlink"/>
    <w:basedOn w:val="DefaultParagraphFont"/>
    <w:uiPriority w:val="99"/>
    <w:semiHidden/>
    <w:unhideWhenUsed/>
    <w:rsid w:val="001E78CD"/>
    <w:rPr>
      <w:color w:val="0000FF"/>
      <w:u w:val="single"/>
    </w:rPr>
  </w:style>
  <w:style w:type="paragraph" w:styleId="Revision">
    <w:name w:val="Revision"/>
    <w:hidden/>
    <w:uiPriority w:val="99"/>
    <w:semiHidden/>
    <w:rsid w:val="007520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646077">
      <w:bodyDiv w:val="1"/>
      <w:marLeft w:val="0"/>
      <w:marRight w:val="0"/>
      <w:marTop w:val="0"/>
      <w:marBottom w:val="0"/>
      <w:divBdr>
        <w:top w:val="none" w:sz="0" w:space="0" w:color="auto"/>
        <w:left w:val="none" w:sz="0" w:space="0" w:color="auto"/>
        <w:bottom w:val="none" w:sz="0" w:space="0" w:color="auto"/>
        <w:right w:val="none" w:sz="0" w:space="0" w:color="auto"/>
      </w:divBdr>
    </w:div>
    <w:div w:id="707022769">
      <w:bodyDiv w:val="1"/>
      <w:marLeft w:val="0"/>
      <w:marRight w:val="0"/>
      <w:marTop w:val="0"/>
      <w:marBottom w:val="0"/>
      <w:divBdr>
        <w:top w:val="none" w:sz="0" w:space="0" w:color="auto"/>
        <w:left w:val="none" w:sz="0" w:space="0" w:color="auto"/>
        <w:bottom w:val="none" w:sz="0" w:space="0" w:color="auto"/>
        <w:right w:val="none" w:sz="0" w:space="0" w:color="auto"/>
      </w:divBdr>
    </w:div>
    <w:div w:id="998925925">
      <w:bodyDiv w:val="1"/>
      <w:marLeft w:val="0"/>
      <w:marRight w:val="0"/>
      <w:marTop w:val="0"/>
      <w:marBottom w:val="0"/>
      <w:divBdr>
        <w:top w:val="none" w:sz="0" w:space="0" w:color="auto"/>
        <w:left w:val="none" w:sz="0" w:space="0" w:color="auto"/>
        <w:bottom w:val="none" w:sz="0" w:space="0" w:color="auto"/>
        <w:right w:val="none" w:sz="0" w:space="0" w:color="auto"/>
      </w:divBdr>
    </w:div>
    <w:div w:id="1077871652">
      <w:bodyDiv w:val="1"/>
      <w:marLeft w:val="0"/>
      <w:marRight w:val="0"/>
      <w:marTop w:val="0"/>
      <w:marBottom w:val="0"/>
      <w:divBdr>
        <w:top w:val="none" w:sz="0" w:space="0" w:color="auto"/>
        <w:left w:val="none" w:sz="0" w:space="0" w:color="auto"/>
        <w:bottom w:val="none" w:sz="0" w:space="0" w:color="auto"/>
        <w:right w:val="none" w:sz="0" w:space="0" w:color="auto"/>
      </w:divBdr>
    </w:div>
    <w:div w:id="187754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091bcea020894f1e" Type="http://schemas.microsoft.com/office/2019/09/relationships/intelligence" Target="intelligence.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977</Words>
  <Characters>5413</Characters>
  <Application>Microsoft Office Word</Application>
  <DocSecurity>0</DocSecurity>
  <Lines>106</Lines>
  <Paragraphs>68</Paragraphs>
  <ScaleCrop>false</ScaleCrop>
  <HeadingPairs>
    <vt:vector size="2" baseType="variant">
      <vt:variant>
        <vt:lpstr>Title</vt:lpstr>
      </vt:variant>
      <vt:variant>
        <vt:i4>1</vt:i4>
      </vt:variant>
    </vt:vector>
  </HeadingPairs>
  <TitlesOfParts>
    <vt:vector size="1" baseType="lpstr">
      <vt:lpstr/>
    </vt:vector>
  </TitlesOfParts>
  <Company>Raymond James Financial, Inc.</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Korth</dc:creator>
  <cp:keywords/>
  <dc:description/>
  <cp:lastModifiedBy>WealthPlan Advisors</cp:lastModifiedBy>
  <cp:revision>4</cp:revision>
  <dcterms:created xsi:type="dcterms:W3CDTF">2021-09-01T22:17:00Z</dcterms:created>
  <dcterms:modified xsi:type="dcterms:W3CDTF">2021-09-01T22:24:00Z</dcterms:modified>
</cp:coreProperties>
</file>